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657B0" w14:textId="5F2F183F" w:rsidR="00DB6EE2" w:rsidRDefault="00C0008E" w:rsidP="00DB6EE2">
      <w:pPr>
        <w:rPr>
          <w:color w:val="2F5496" w:themeColor="accent1" w:themeShade="BF"/>
          <w:sz w:val="40"/>
        </w:rPr>
      </w:pPr>
      <w:r w:rsidRPr="00C0008E">
        <w:rPr>
          <w:color w:val="2F5496" w:themeColor="accent1" w:themeShade="BF"/>
          <w:sz w:val="40"/>
        </w:rPr>
        <w:t>Artificial Intelligence Optimization for Computer Scientists - D682</w:t>
      </w:r>
      <w:r w:rsidR="00707B43">
        <w:rPr>
          <w:color w:val="2F5496" w:themeColor="accent1" w:themeShade="BF"/>
          <w:sz w:val="40"/>
        </w:rPr>
        <w:br/>
      </w:r>
      <w:r w:rsidR="00DB6EE2" w:rsidRPr="00E452E1">
        <w:rPr>
          <w:color w:val="2F5496" w:themeColor="accent1" w:themeShade="BF"/>
          <w:sz w:val="40"/>
        </w:rPr>
        <w:t>Performance Assessment</w:t>
      </w:r>
      <w:r w:rsidR="00707B43">
        <w:rPr>
          <w:color w:val="2F5496" w:themeColor="accent1" w:themeShade="BF"/>
          <w:sz w:val="40"/>
        </w:rPr>
        <w:t>:</w:t>
      </w:r>
    </w:p>
    <w:p w14:paraId="7C8EE0B0" w14:textId="422455CB" w:rsidR="00DB6EE2" w:rsidRPr="00E452E1" w:rsidRDefault="00DB6EE2" w:rsidP="00DB6EE2">
      <w:pPr>
        <w:rPr>
          <w:color w:val="2F5496" w:themeColor="accent1" w:themeShade="BF"/>
          <w:sz w:val="36"/>
        </w:rPr>
      </w:pPr>
      <w:r>
        <w:rPr>
          <w:color w:val="2F5496" w:themeColor="accent1" w:themeShade="BF"/>
          <w:sz w:val="36"/>
        </w:rPr>
        <w:t xml:space="preserve">TASK </w:t>
      </w:r>
      <w:r w:rsidR="00160126">
        <w:rPr>
          <w:color w:val="2F5496" w:themeColor="accent1" w:themeShade="BF"/>
          <w:sz w:val="36"/>
        </w:rPr>
        <w:t>4</w:t>
      </w:r>
      <w:r>
        <w:rPr>
          <w:color w:val="2F5496" w:themeColor="accent1" w:themeShade="BF"/>
          <w:sz w:val="36"/>
        </w:rPr>
        <w:t xml:space="preserve"> </w:t>
      </w:r>
      <w:r w:rsidR="004924BE">
        <w:rPr>
          <w:color w:val="2F5496" w:themeColor="accent1" w:themeShade="BF"/>
          <w:sz w:val="36"/>
        </w:rPr>
        <w:t xml:space="preserve">- </w:t>
      </w:r>
      <w:r w:rsidR="00160126" w:rsidRPr="00160126">
        <w:rPr>
          <w:color w:val="2F5496" w:themeColor="accent1" w:themeShade="BF"/>
          <w:sz w:val="36"/>
        </w:rPr>
        <w:t>Adaptation for Additional Applications</w:t>
      </w:r>
    </w:p>
    <w:p w14:paraId="36454CD0" w14:textId="7BC17CC9" w:rsidR="00DB6EE2" w:rsidRDefault="00FC1D93" w:rsidP="00DB6EE2">
      <w:pPr>
        <w:rPr>
          <w:color w:val="2F5496" w:themeColor="accent1" w:themeShade="BF"/>
        </w:rPr>
      </w:pPr>
      <w:r>
        <w:rPr>
          <w:noProof/>
          <w:color w:val="4472C4" w:themeColor="accent1"/>
        </w:rPr>
        <mc:AlternateContent>
          <mc:Choice Requires="wps">
            <w:drawing>
              <wp:anchor distT="0" distB="0" distL="114300" distR="114300" simplePos="0" relativeHeight="251659264" behindDoc="0" locked="0" layoutInCell="1" allowOverlap="1" wp14:anchorId="6A18DB43" wp14:editId="3E91D5BD">
                <wp:simplePos x="0" y="0"/>
                <wp:positionH relativeFrom="column">
                  <wp:posOffset>36195</wp:posOffset>
                </wp:positionH>
                <wp:positionV relativeFrom="paragraph">
                  <wp:posOffset>46736</wp:posOffset>
                </wp:positionV>
                <wp:extent cx="5059680" cy="0"/>
                <wp:effectExtent l="0" t="0" r="7620" b="12700"/>
                <wp:wrapNone/>
                <wp:docPr id="1" name="Straight Connector 1"/>
                <wp:cNvGraphicFramePr/>
                <a:graphic xmlns:a="http://schemas.openxmlformats.org/drawingml/2006/main">
                  <a:graphicData uri="http://schemas.microsoft.com/office/word/2010/wordprocessingShape">
                    <wps:wsp>
                      <wps:cNvCnPr/>
                      <wps:spPr>
                        <a:xfrm>
                          <a:off x="0" y="0"/>
                          <a:ext cx="5059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62316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5pt,3.7pt" to="401.25pt,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" strokecolor="#4472c4 [3204]" strokeweight=".5pt">
                <v:stroke joinstyle="miter"/>
              </v:line>
            </w:pict>
          </mc:Fallback>
        </mc:AlternateContent>
      </w:r>
    </w:p>
    <w:p w14:paraId="1BA08B9A" w14:textId="77777777" w:rsidR="00DB6EE2" w:rsidRPr="00E452E1" w:rsidRDefault="00DB6EE2" w:rsidP="00DB6EE2">
      <w:pPr>
        <w:rPr>
          <w:color w:val="000000" w:themeColor="text1"/>
        </w:rPr>
      </w:pPr>
      <w:r w:rsidRPr="00E452E1">
        <w:rPr>
          <w:color w:val="000000" w:themeColor="text1"/>
        </w:rPr>
        <w:t xml:space="preserve">Student Name: </w:t>
      </w:r>
      <w:r>
        <w:rPr>
          <w:color w:val="000000" w:themeColor="text1"/>
        </w:rPr>
        <w:t>Zakaria Benmoulay</w:t>
      </w:r>
    </w:p>
    <w:p w14:paraId="791843B8" w14:textId="77777777" w:rsidR="00DB6EE2" w:rsidRPr="00E452E1" w:rsidRDefault="00DB6EE2" w:rsidP="00DB6EE2">
      <w:pPr>
        <w:rPr>
          <w:color w:val="000000" w:themeColor="text1"/>
        </w:rPr>
      </w:pPr>
      <w:r w:rsidRPr="00E452E1">
        <w:rPr>
          <w:color w:val="000000" w:themeColor="text1"/>
        </w:rPr>
        <w:t>Student ID: 012498637</w:t>
      </w:r>
    </w:p>
    <w:p w14:paraId="32EAF390" w14:textId="7F3146C2" w:rsidR="00DB6EE2" w:rsidRPr="00E452E1" w:rsidRDefault="00DB6EE2" w:rsidP="00DB6EE2">
      <w:pPr>
        <w:rPr>
          <w:color w:val="000000" w:themeColor="text1"/>
        </w:rPr>
      </w:pPr>
      <w:r w:rsidRPr="00E452E1">
        <w:rPr>
          <w:color w:val="000000" w:themeColor="text1"/>
        </w:rPr>
        <w:t xml:space="preserve">Course: </w:t>
      </w:r>
      <w:r w:rsidR="00C0008E" w:rsidRPr="00C0008E">
        <w:rPr>
          <w:color w:val="000000" w:themeColor="text1"/>
        </w:rPr>
        <w:t>Artificial Intelligence Optimization for Computer Scientists - D682</w:t>
      </w:r>
    </w:p>
    <w:p w14:paraId="4EF97427" w14:textId="5AB2A53F" w:rsidR="00DB6EE2" w:rsidRPr="00FC1D93" w:rsidRDefault="00DB6EE2" w:rsidP="00DB6EE2">
      <w:pPr>
        <w:rPr>
          <w:color w:val="000000" w:themeColor="text1"/>
        </w:rPr>
      </w:pPr>
      <w:r w:rsidRPr="00E452E1">
        <w:rPr>
          <w:color w:val="000000" w:themeColor="text1"/>
        </w:rPr>
        <w:t xml:space="preserve">Submission Date: </w:t>
      </w:r>
      <w:r w:rsidR="00160126">
        <w:rPr>
          <w:color w:val="000000" w:themeColor="text1"/>
        </w:rPr>
        <w:t>20</w:t>
      </w:r>
      <w:r w:rsidR="003F06BD">
        <w:rPr>
          <w:color w:val="000000" w:themeColor="text1"/>
        </w:rPr>
        <w:t xml:space="preserve"> February 2026</w:t>
      </w:r>
    </w:p>
    <w:p w14:paraId="08224799" w14:textId="236BFEA9" w:rsidR="007F3A55" w:rsidRPr="00CC5596" w:rsidRDefault="007F3A55" w:rsidP="003C310C">
      <w:pPr>
        <w:tabs>
          <w:tab w:val="left" w:pos="8602"/>
        </w:tabs>
      </w:pPr>
      <w:r>
        <w:rPr>
          <w:noProof/>
          <w:color w:val="4472C4" w:themeColor="accent1"/>
        </w:rPr>
        <mc:AlternateContent>
          <mc:Choice Requires="wps">
            <w:drawing>
              <wp:anchor distT="0" distB="0" distL="114300" distR="114300" simplePos="0" relativeHeight="251661312" behindDoc="0" locked="0" layoutInCell="1" allowOverlap="1" wp14:anchorId="68189338" wp14:editId="3495774A">
                <wp:simplePos x="0" y="0"/>
                <wp:positionH relativeFrom="column">
                  <wp:posOffset>0</wp:posOffset>
                </wp:positionH>
                <wp:positionV relativeFrom="paragraph">
                  <wp:posOffset>60579</wp:posOffset>
                </wp:positionV>
                <wp:extent cx="6303264" cy="0"/>
                <wp:effectExtent l="0" t="0" r="8890" b="12700"/>
                <wp:wrapNone/>
                <wp:docPr id="2" name="Straight Connector 2"/>
                <wp:cNvGraphicFramePr/>
                <a:graphic xmlns:a="http://schemas.openxmlformats.org/drawingml/2006/main">
                  <a:graphicData uri="http://schemas.microsoft.com/office/word/2010/wordprocessingShape">
                    <wps:wsp>
                      <wps:cNvCnPr/>
                      <wps:spPr>
                        <a:xfrm>
                          <a:off x="0" y="0"/>
                          <a:ext cx="630326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1CF5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75pt" to="496.3pt,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" strokecolor="#4472c4 [3204]" strokeweight=".5pt">
                <v:stroke joinstyle="miter"/>
              </v:line>
            </w:pict>
          </mc:Fallback>
        </mc:AlternateContent>
      </w:r>
    </w:p>
    <w:p w14:paraId="3DD674A1" w14:textId="108C64C2" w:rsidR="00A42312" w:rsidRPr="00A42312" w:rsidRDefault="00A42312" w:rsidP="004E0B04">
      <w:pPr>
        <w:rPr>
          <w:color w:val="000000" w:themeColor="text1"/>
        </w:rPr>
      </w:pPr>
      <w:r w:rsidRPr="00A42312">
        <w:rPr>
          <w:b/>
          <w:color w:val="4472C4" w:themeColor="accent1"/>
        </w:rPr>
        <w:t xml:space="preserve">Overview: </w:t>
      </w:r>
      <w:r w:rsidR="00FC1D93" w:rsidRPr="004328EE">
        <w:rPr>
          <w:color w:val="000000" w:themeColor="text1"/>
          <w:sz w:val="22"/>
        </w:rPr>
        <w:t>In</w:t>
      </w:r>
      <w:r w:rsidRPr="004328EE">
        <w:rPr>
          <w:color w:val="000000" w:themeColor="text1"/>
          <w:sz w:val="22"/>
        </w:rPr>
        <w:t xml:space="preserve"> this submission, </w:t>
      </w:r>
      <w:r w:rsidR="00CA6C69">
        <w:rPr>
          <w:color w:val="000000" w:themeColor="text1"/>
          <w:sz w:val="22"/>
        </w:rPr>
        <w:t>I will adapt the optimized Gradient Boosting model developed for Urban Air Quality Health Risk to a new case, Water Quality Monitoring. The report describes the adaptation strategies, the logic for modifying the model from regression to multi-class classification.</w:t>
      </w:r>
    </w:p>
    <w:p w14:paraId="46A68B16" w14:textId="4BC1A2B4" w:rsidR="00CA6C69" w:rsidRDefault="00CA6C69" w:rsidP="00CA6C69">
      <w:pPr>
        <w:pStyle w:val="Heading2"/>
      </w:pPr>
      <w:r>
        <w:rPr>
          <w:noProof/>
          <w:color w:val="4472C4" w:themeColor="accent1"/>
        </w:rPr>
        <mc:AlternateContent>
          <mc:Choice Requires="wps">
            <w:drawing>
              <wp:anchor distT="0" distB="0" distL="114300" distR="114300" simplePos="0" relativeHeight="251667456" behindDoc="0" locked="0" layoutInCell="1" allowOverlap="1" wp14:anchorId="3A975926" wp14:editId="4F2F165F">
                <wp:simplePos x="0" y="0"/>
                <wp:positionH relativeFrom="column">
                  <wp:posOffset>0</wp:posOffset>
                </wp:positionH>
                <wp:positionV relativeFrom="paragraph">
                  <wp:posOffset>238887</wp:posOffset>
                </wp:positionV>
                <wp:extent cx="6303010" cy="0"/>
                <wp:effectExtent l="0" t="0" r="8890" b="12700"/>
                <wp:wrapNone/>
                <wp:docPr id="4" name="Straight Connector 4"/>
                <wp:cNvGraphicFramePr/>
                <a:graphic xmlns:a="http://schemas.openxmlformats.org/drawingml/2006/main">
                  <a:graphicData uri="http://schemas.microsoft.com/office/word/2010/wordprocessingShape">
                    <wps:wsp>
                      <wps:cNvCnPr/>
                      <wps:spPr>
                        <a:xfrm>
                          <a:off x="0" y="0"/>
                          <a:ext cx="63030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05206D"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8pt" to="496.3pt,18.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" strokecolor="#4472c4 [3204]" strokeweight=".5pt">
                <v:stroke joinstyle="miter"/>
              </v:line>
            </w:pict>
          </mc:Fallback>
        </mc:AlternateContent>
      </w:r>
      <w:r>
        <w:br/>
      </w:r>
      <w:r w:rsidR="00160126">
        <w:br/>
      </w:r>
      <w:r>
        <w:rPr>
          <w:sz w:val="24"/>
          <w:szCs w:val="24"/>
        </w:rPr>
        <w:t>A1. Adaptation Strategies, Domain Requirements, and Constraints</w:t>
      </w:r>
    </w:p>
    <w:p w14:paraId="6CC0267E" w14:textId="77777777" w:rsidR="00DF7386" w:rsidRDefault="00160126" w:rsidP="004E0B04">
      <w:r>
        <w:br/>
      </w:r>
      <w:r w:rsidR="00DF7386">
        <w:t>The tuned Gradient Boosting model with Randomized Search was designed to predict Health Risk Score from weather, pollutants variables. To adapt this model for water quality monitoring, we need to carefully develop a strategy with different data characteristics, domain specific standards and real world constrains.</w:t>
      </w:r>
    </w:p>
    <w:p w14:paraId="49C57F64" w14:textId="77777777" w:rsidR="00DF7386" w:rsidRDefault="00DF7386" w:rsidP="004E0B04"/>
    <w:p w14:paraId="334973EF" w14:textId="77777777" w:rsidR="006735AE" w:rsidRDefault="00B24B0E" w:rsidP="0072473E">
      <w:r>
        <w:rPr>
          <w:b/>
        </w:rPr>
        <w:t>Adapting Strategy:</w:t>
      </w:r>
      <w:r>
        <w:rPr>
          <w:b/>
        </w:rPr>
        <w:br/>
      </w:r>
      <w:r w:rsidR="0072473E">
        <w:t>First, t</w:t>
      </w:r>
      <w:r>
        <w:t>he core pillar of the strategy would be reframing the prediction task from a model that predicts a continuous score (</w:t>
      </w:r>
      <w:proofErr w:type="spellStart"/>
      <w:r>
        <w:t>HealthRiskScore</w:t>
      </w:r>
      <w:proofErr w:type="spellEnd"/>
      <w:r>
        <w:t xml:space="preserve">) to a new adapted model that classifies each water sample into three categories; </w:t>
      </w:r>
      <w:r w:rsidR="0072473E">
        <w:t>Potable</w:t>
      </w:r>
      <w:r>
        <w:t xml:space="preserve">, </w:t>
      </w:r>
      <w:r w:rsidR="006735AE">
        <w:t>Non-</w:t>
      </w:r>
      <w:r w:rsidR="006735AE" w:rsidRPr="006735AE">
        <w:t xml:space="preserve"> </w:t>
      </w:r>
      <w:r w:rsidR="006735AE">
        <w:t>Potable</w:t>
      </w:r>
      <w:r>
        <w:t xml:space="preserve"> or contaminated</w:t>
      </w:r>
      <w:r w:rsidR="0072473E">
        <w:t xml:space="preserve">. Second, would be replacing the input feature set with water quality parameters, based on measurable chemical and physical indicators. </w:t>
      </w:r>
      <w:r w:rsidR="0072473E" w:rsidRPr="0072473E">
        <w:t>The input features from the original model, such as Heat Index and Humidity, are replaced with domain-relevant water quality variables including pH level, turbidity, dissolved oxygen concentration, nitrate levels, total dissolved solids (TDS), and the presence of chemical contaminants such as lead, arsenic, and coliform bacteria</w:t>
      </w:r>
      <w:r w:rsidR="0072473E">
        <w:t xml:space="preserve">. These parameters are standard indicators used by environmental agencies to assess drinking water safety </w:t>
      </w:r>
      <w:hyperlink r:id="rId5" w:history="1">
        <w:r w:rsidR="0072473E" w:rsidRPr="0072473E">
          <w:rPr>
            <w:rStyle w:val="Hyperlink"/>
          </w:rPr>
          <w:t>[1</w:t>
        </w:r>
        <w:r w:rsidR="0072473E" w:rsidRPr="0072473E">
          <w:rPr>
            <w:rStyle w:val="Hyperlink"/>
          </w:rPr>
          <w:t>]</w:t>
        </w:r>
      </w:hyperlink>
      <w:r w:rsidR="0072473E">
        <w:t>.</w:t>
      </w:r>
      <w:r w:rsidR="00160126">
        <w:br/>
      </w:r>
      <w:r w:rsidR="00160126">
        <w:br/>
      </w:r>
    </w:p>
    <w:p w14:paraId="0C8CAFAB" w14:textId="0BD18895" w:rsidR="006735AE" w:rsidRPr="00227CF1" w:rsidRDefault="006735AE" w:rsidP="0072473E">
      <w:r w:rsidRPr="006735AE">
        <w:rPr>
          <w:b/>
        </w:rPr>
        <w:t>Domain-Specific Requirements</w:t>
      </w:r>
      <w:r>
        <w:rPr>
          <w:b/>
        </w:rPr>
        <w:t>:</w:t>
      </w:r>
      <w:r>
        <w:rPr>
          <w:b/>
        </w:rPr>
        <w:br/>
      </w:r>
      <w:r w:rsidR="00723519">
        <w:t xml:space="preserve">Water quality monitoring is governed by strict, legally enforced frameworks like Safe Drinking Water Act (SDWA) and Clean Water Act(CWA), that impose specific technical requirements </w:t>
      </w:r>
      <w:hyperlink r:id="rId6" w:history="1">
        <w:r w:rsidR="00723519" w:rsidRPr="00723519">
          <w:rPr>
            <w:rStyle w:val="Hyperlink"/>
          </w:rPr>
          <w:t>[2]</w:t>
        </w:r>
      </w:hyperlink>
      <w:r w:rsidR="00723519">
        <w:t>. Therefore, the adapted model must be able to ingest data from multiple collection sources, such as treatment plants, distribution pipelines or even natural water bodies</w:t>
      </w:r>
      <w:r w:rsidR="00467F72">
        <w:t xml:space="preserve">. Additionally, the </w:t>
      </w:r>
      <w:r w:rsidR="00467F72">
        <w:lastRenderedPageBreak/>
        <w:t xml:space="preserve">adapted model must be capable of near real time inference, as contamination events can escalate rapidly and require immediate response. In case of contamination, interpretability is as important and it plays critical role explaining to water operators and public health official why the model flagged a sample as </w:t>
      </w:r>
      <w:r w:rsidR="00467F72" w:rsidRPr="00467F72">
        <w:rPr>
          <w:b/>
        </w:rPr>
        <w:t>Contaminated</w:t>
      </w:r>
      <w:r w:rsidR="00227CF1">
        <w:t xml:space="preserve">, not just that it did. This makes the built-in capability of the adapted Gradient Boosting model, </w:t>
      </w:r>
      <w:r w:rsidR="00227CF1">
        <w:rPr>
          <w:i/>
        </w:rPr>
        <w:t xml:space="preserve">Feature Importance </w:t>
      </w:r>
      <w:r w:rsidR="00227CF1">
        <w:t>especially valuable in this domain, as it shows which feature most influenced a prediction</w:t>
      </w:r>
      <w:r w:rsidR="006C5138">
        <w:t xml:space="preserve"> </w:t>
      </w:r>
      <w:hyperlink r:id="rId7" w:history="1">
        <w:r w:rsidR="006C5138" w:rsidRPr="006C5138">
          <w:rPr>
            <w:rStyle w:val="Hyperlink"/>
          </w:rPr>
          <w:t>[3]</w:t>
        </w:r>
      </w:hyperlink>
      <w:r w:rsidR="00227CF1">
        <w:t>.</w:t>
      </w:r>
    </w:p>
    <w:p w14:paraId="70AB7185" w14:textId="77777777" w:rsidR="006735AE" w:rsidRDefault="006735AE" w:rsidP="0072473E"/>
    <w:p w14:paraId="2EC4EDE6" w14:textId="3CCB5742" w:rsidR="006735AE" w:rsidRDefault="006C5138" w:rsidP="0072473E">
      <w:r>
        <w:rPr>
          <w:b/>
        </w:rPr>
        <w:t>Constrains:</w:t>
      </w:r>
    </w:p>
    <w:p w14:paraId="50AAFD27" w14:textId="66EF5BC0" w:rsidR="00723519" w:rsidRDefault="006C5138" w:rsidP="0072473E">
      <w:r>
        <w:t xml:space="preserve">Working with water quality data comes with a number of </w:t>
      </w:r>
      <w:r w:rsidR="009279CF">
        <w:t>real-world</w:t>
      </w:r>
      <w:r>
        <w:t xml:space="preserve"> challenges and constraints. Due to the rarity of the </w:t>
      </w:r>
      <w:r w:rsidR="009279CF">
        <w:t xml:space="preserve">contamination events, the model classifier can easily become biased toward majority class unless resampling and adjusting class weights are used during the training to make sure critical cases are still detected, even if it’s rare occurrence. Another issue, imbalanced data, for example, </w:t>
      </w:r>
      <w:r w:rsidR="009279CF" w:rsidRPr="009279CF">
        <w:t>Water monitoring networks rely on instruments that can fail, drift out of calibration, or produce gaps because of communication problems, especially in rural or hard-to-reach locations</w:t>
      </w:r>
      <w:r w:rsidR="009279CF">
        <w:t xml:space="preserve"> </w:t>
      </w:r>
      <w:hyperlink r:id="rId8" w:history="1">
        <w:r w:rsidR="009279CF" w:rsidRPr="009279CF">
          <w:rPr>
            <w:rStyle w:val="Hyperlink"/>
          </w:rPr>
          <w:t>[4]</w:t>
        </w:r>
      </w:hyperlink>
      <w:r w:rsidR="009279CF" w:rsidRPr="009279CF">
        <w:t>.</w:t>
      </w:r>
      <w:r w:rsidR="009279CF">
        <w:t xml:space="preserve"> </w:t>
      </w:r>
      <w:r w:rsidR="003C4F74">
        <w:t xml:space="preserve">Finally, any AI solution must fit within the established regulatory frameworks such as in the U.S. Safe Drinking Water Act (SDWA) or Water Frameworks Directive in Europe, </w:t>
      </w:r>
      <w:r w:rsidR="003C4F74" w:rsidRPr="003C4F74">
        <w:t>and relevant state-level regulations, which may restrict automated decision-making without human oversight in public health contexts</w:t>
      </w:r>
      <w:r w:rsidR="003C4F74">
        <w:t xml:space="preserve"> </w:t>
      </w:r>
      <w:hyperlink r:id="rId9" w:history="1">
        <w:r w:rsidR="003C4F74" w:rsidRPr="003C4F74">
          <w:rPr>
            <w:rStyle w:val="Hyperlink"/>
          </w:rPr>
          <w:t>[5]</w:t>
        </w:r>
      </w:hyperlink>
      <w:r w:rsidR="003C4F74">
        <w:t>.</w:t>
      </w:r>
      <w:r>
        <w:br/>
      </w:r>
      <w:r>
        <w:br/>
      </w:r>
      <w:r>
        <w:br/>
      </w:r>
      <w:r>
        <w:br/>
      </w:r>
      <w:r>
        <w:br/>
      </w:r>
      <w:r w:rsidR="00160126">
        <w:br/>
      </w:r>
      <w:r w:rsidR="0072473E">
        <w:rPr>
          <w:rFonts w:ascii="Arial" w:eastAsia="Arial" w:hAnsi="Arial" w:cs="Arial"/>
          <w:b/>
          <w:bCs/>
          <w:color w:val="2E74B5"/>
        </w:rPr>
        <w:t>B. Resources</w:t>
      </w:r>
      <w:r w:rsidR="00723519">
        <w:rPr>
          <w:rFonts w:ascii="Arial" w:eastAsia="Arial" w:hAnsi="Arial" w:cs="Arial"/>
          <w:b/>
          <w:bCs/>
          <w:color w:val="2E74B5"/>
        </w:rPr>
        <w:br/>
      </w:r>
      <w:r w:rsidR="0072473E">
        <w:rPr>
          <w:rFonts w:ascii="Arial" w:eastAsia="Arial" w:hAnsi="Arial" w:cs="Arial"/>
          <w:b/>
          <w:bCs/>
          <w:color w:val="2E74B5"/>
        </w:rPr>
        <w:br/>
      </w:r>
      <w:r w:rsidR="0072473E">
        <w:t xml:space="preserve">[1] </w:t>
      </w:r>
      <w:r w:rsidR="0072473E">
        <w:t>What’s in the Water?</w:t>
      </w:r>
      <w:r w:rsidR="0072473E">
        <w:t xml:space="preserve"> | NPS</w:t>
      </w:r>
      <w:r w:rsidR="0072473E">
        <w:br/>
      </w:r>
      <w:hyperlink r:id="rId10" w:history="1">
        <w:r w:rsidR="006735AE" w:rsidRPr="00846A22">
          <w:rPr>
            <w:rStyle w:val="Hyperlink"/>
          </w:rPr>
          <w:t>https://www.nps.gov/common/uploads/teachers/lessonplans/Indicators%20of%20Water%20Quality%20Presentation.pdf</w:t>
        </w:r>
      </w:hyperlink>
      <w:r w:rsidR="006735AE">
        <w:t xml:space="preserve"> </w:t>
      </w:r>
      <w:r w:rsidR="00723519">
        <w:br/>
      </w:r>
      <w:r w:rsidR="00723519">
        <w:br/>
        <w:t xml:space="preserve">[2] </w:t>
      </w:r>
      <w:r w:rsidR="00723519" w:rsidRPr="00723519">
        <w:t>Drinking Water Regulations</w:t>
      </w:r>
      <w:r w:rsidR="00723519">
        <w:t>| EPA</w:t>
      </w:r>
    </w:p>
    <w:p w14:paraId="4CC09988" w14:textId="77777777" w:rsidR="006C5138" w:rsidRDefault="00723519" w:rsidP="0072473E">
      <w:r>
        <w:t xml:space="preserve"> </w:t>
      </w:r>
      <w:hyperlink r:id="rId11" w:history="1">
        <w:r w:rsidRPr="00846A22">
          <w:rPr>
            <w:rStyle w:val="Hyperlink"/>
          </w:rPr>
          <w:t>https://www.epa.gov/dwreginfo/drinking-water-regulations</w:t>
        </w:r>
      </w:hyperlink>
      <w:r>
        <w:t xml:space="preserve"> </w:t>
      </w:r>
      <w:r>
        <w:br/>
      </w:r>
      <w:r>
        <w:br/>
      </w:r>
      <w:r w:rsidR="00227CF1">
        <w:t xml:space="preserve">[3] </w:t>
      </w:r>
      <w:r w:rsidR="00227CF1" w:rsidRPr="00227CF1">
        <w:t>Predicting stream water quality under different urban development pattern scenarios with an interpretable machine learning approach</w:t>
      </w:r>
      <w:r w:rsidR="006C5138">
        <w:t xml:space="preserve"> | ScienceDirect</w:t>
      </w:r>
    </w:p>
    <w:p w14:paraId="6F8FD399" w14:textId="77777777" w:rsidR="009279CF" w:rsidRDefault="006C5138" w:rsidP="0072473E">
      <w:hyperlink r:id="rId12" w:history="1">
        <w:r w:rsidRPr="00846A22">
          <w:rPr>
            <w:rStyle w:val="Hyperlink"/>
          </w:rPr>
          <w:t>https://www.sciencedirect.com/science/article/abs/pii/S0048969720375884?via%3Dihub</w:t>
        </w:r>
      </w:hyperlink>
      <w:r>
        <w:t xml:space="preserve"> </w:t>
      </w:r>
      <w:r w:rsidR="00723519">
        <w:br/>
      </w:r>
      <w:r w:rsidR="00723519">
        <w:br/>
      </w:r>
      <w:r w:rsidR="009279CF">
        <w:t xml:space="preserve">[4] </w:t>
      </w:r>
      <w:r w:rsidR="009279CF" w:rsidRPr="009279CF">
        <w:t>The importance and challenges of monitoring water quality</w:t>
      </w:r>
      <w:r w:rsidR="009279CF">
        <w:t xml:space="preserve"> | SVAN </w:t>
      </w:r>
    </w:p>
    <w:p w14:paraId="7574E128" w14:textId="77777777" w:rsidR="009279CF" w:rsidRDefault="009279CF" w:rsidP="0072473E">
      <w:hyperlink r:id="rId13" w:history="1">
        <w:r w:rsidRPr="00846A22">
          <w:rPr>
            <w:rStyle w:val="Hyperlink"/>
          </w:rPr>
          <w:t>https://www.svan.in/resources/articles/the-importance-and-challenges-of-monitoring-water-quality</w:t>
        </w:r>
      </w:hyperlink>
      <w:r>
        <w:t xml:space="preserve"> </w:t>
      </w:r>
      <w:r w:rsidR="00723519">
        <w:br/>
      </w:r>
    </w:p>
    <w:p w14:paraId="7BBD6722" w14:textId="77777777" w:rsidR="003C4F74" w:rsidRDefault="003C4F74" w:rsidP="0072473E">
      <w:r>
        <w:t xml:space="preserve">[5] </w:t>
      </w:r>
      <w:r w:rsidRPr="003C4F74">
        <w:t xml:space="preserve">Safe Drinking Water Act Compliance Monitoring </w:t>
      </w:r>
      <w:r>
        <w:t>| EPA</w:t>
      </w:r>
    </w:p>
    <w:p w14:paraId="24433171" w14:textId="34411320" w:rsidR="009279CF" w:rsidRDefault="003C4F74" w:rsidP="0072473E">
      <w:hyperlink r:id="rId14" w:history="1">
        <w:r w:rsidRPr="00846A22">
          <w:rPr>
            <w:rStyle w:val="Hyperlink"/>
          </w:rPr>
          <w:t>https://www.epa.gov/compliance/safe-drinking-water-act-compliance-monitoring</w:t>
        </w:r>
      </w:hyperlink>
      <w:r>
        <w:t xml:space="preserve"> </w:t>
      </w:r>
    </w:p>
    <w:p w14:paraId="02998946" w14:textId="77777777" w:rsidR="009279CF" w:rsidRDefault="009279CF" w:rsidP="0072473E"/>
    <w:p w14:paraId="7E11C69A" w14:textId="77777777" w:rsidR="009279CF" w:rsidRDefault="009279CF" w:rsidP="0072473E">
      <w:bookmarkStart w:id="0" w:name="_GoBack"/>
      <w:bookmarkEnd w:id="0"/>
    </w:p>
    <w:p w14:paraId="24E6D8F8" w14:textId="77777777" w:rsidR="009279CF" w:rsidRDefault="009279CF" w:rsidP="0072473E"/>
    <w:p w14:paraId="600E40AE" w14:textId="0AFCF244" w:rsidR="00A42312" w:rsidRDefault="00723519" w:rsidP="0072473E">
      <w:r>
        <w:br/>
      </w:r>
      <w:r>
        <w:br/>
      </w:r>
      <w:r>
        <w:br/>
      </w:r>
    </w:p>
    <w:p w14:paraId="0ABAD3DF" w14:textId="66F92ECE" w:rsidR="00A42312" w:rsidRPr="004328EE" w:rsidRDefault="00160126" w:rsidP="003C310C">
      <w:pPr>
        <w:rPr>
          <w:sz w:val="20"/>
        </w:rPr>
      </w:pPr>
      <w:r w:rsidRPr="004328EE">
        <w:rPr>
          <w:noProof/>
          <w:color w:val="4472C4" w:themeColor="accent1"/>
          <w:sz w:val="22"/>
        </w:rPr>
        <mc:AlternateContent>
          <mc:Choice Requires="wps">
            <w:drawing>
              <wp:anchor distT="0" distB="0" distL="114300" distR="114300" simplePos="0" relativeHeight="251669504" behindDoc="0" locked="0" layoutInCell="1" allowOverlap="1" wp14:anchorId="4FBEFFCB" wp14:editId="31887252">
                <wp:simplePos x="0" y="0"/>
                <wp:positionH relativeFrom="column">
                  <wp:posOffset>25019</wp:posOffset>
                </wp:positionH>
                <wp:positionV relativeFrom="paragraph">
                  <wp:posOffset>130175</wp:posOffset>
                </wp:positionV>
                <wp:extent cx="6303010" cy="22860"/>
                <wp:effectExtent l="0" t="0" r="21590" b="15240"/>
                <wp:wrapNone/>
                <wp:docPr id="6" name="Straight Connector 6"/>
                <wp:cNvGraphicFramePr/>
                <a:graphic xmlns:a="http://schemas.openxmlformats.org/drawingml/2006/main">
                  <a:graphicData uri="http://schemas.microsoft.com/office/word/2010/wordprocessingShape">
                    <wps:wsp>
                      <wps:cNvCnPr/>
                      <wps:spPr>
                        <a:xfrm flipV="1">
                          <a:off x="0" y="0"/>
                          <a:ext cx="630301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1B0206" id="Straight Connector 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0.25pt" to="498.25pt,1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" strokecolor="#4472c4 [3204]" strokeweight=".5pt">
                <v:stroke joinstyle="miter"/>
              </v:line>
            </w:pict>
          </mc:Fallback>
        </mc:AlternateContent>
      </w:r>
    </w:p>
    <w:p w14:paraId="00BD831B" w14:textId="2B2FE1E1" w:rsidR="003C310C" w:rsidRPr="004328EE" w:rsidRDefault="00A42312" w:rsidP="003C310C">
      <w:pPr>
        <w:rPr>
          <w:sz w:val="22"/>
        </w:rPr>
      </w:pPr>
      <w:r w:rsidRPr="004328EE">
        <w:rPr>
          <w:sz w:val="22"/>
        </w:rPr>
        <w:br/>
      </w:r>
      <w:r w:rsidR="003C310C" w:rsidRPr="004328EE">
        <w:rPr>
          <w:sz w:val="22"/>
        </w:rPr>
        <w:t>Respectfully submitted,</w:t>
      </w:r>
    </w:p>
    <w:p w14:paraId="015B4DBF" w14:textId="4306E31D" w:rsidR="003C310C" w:rsidRPr="004328EE" w:rsidRDefault="003C310C" w:rsidP="003C310C">
      <w:pPr>
        <w:rPr>
          <w:sz w:val="22"/>
        </w:rPr>
      </w:pPr>
    </w:p>
    <w:p w14:paraId="26C24EF0" w14:textId="77777777" w:rsidR="003C310C" w:rsidRPr="004328EE" w:rsidRDefault="003C310C" w:rsidP="003C310C">
      <w:pPr>
        <w:rPr>
          <w:sz w:val="22"/>
        </w:rPr>
      </w:pPr>
      <w:r w:rsidRPr="004328EE">
        <w:rPr>
          <w:sz w:val="22"/>
        </w:rPr>
        <w:t>Zakaria Benmoulay</w:t>
      </w:r>
    </w:p>
    <w:p w14:paraId="61B0A697" w14:textId="101A68D8" w:rsidR="003C310C" w:rsidRPr="004328EE" w:rsidRDefault="003C310C" w:rsidP="003C310C">
      <w:pPr>
        <w:rPr>
          <w:sz w:val="22"/>
        </w:rPr>
      </w:pPr>
      <w:r w:rsidRPr="004328EE">
        <w:rPr>
          <w:sz w:val="22"/>
        </w:rPr>
        <w:t>012498637</w:t>
      </w:r>
    </w:p>
    <w:sectPr w:rsidR="003C310C" w:rsidRPr="004328EE" w:rsidSect="00844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63DA"/>
    <w:multiLevelType w:val="hybridMultilevel"/>
    <w:tmpl w:val="99C80286"/>
    <w:lvl w:ilvl="0" w:tplc="6AEEBAB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9455314"/>
    <w:multiLevelType w:val="hybridMultilevel"/>
    <w:tmpl w:val="DDA6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83270"/>
    <w:multiLevelType w:val="hybridMultilevel"/>
    <w:tmpl w:val="850A2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4163F"/>
    <w:multiLevelType w:val="hybridMultilevel"/>
    <w:tmpl w:val="CE8A05FE"/>
    <w:lvl w:ilvl="0" w:tplc="3C0CE656">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EC3558"/>
    <w:multiLevelType w:val="hybridMultilevel"/>
    <w:tmpl w:val="58A29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A5C10"/>
    <w:multiLevelType w:val="hybridMultilevel"/>
    <w:tmpl w:val="4662A7FA"/>
    <w:lvl w:ilvl="0" w:tplc="3C0CE656">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F433FC"/>
    <w:multiLevelType w:val="hybridMultilevel"/>
    <w:tmpl w:val="7A349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EB3DD6"/>
    <w:multiLevelType w:val="hybridMultilevel"/>
    <w:tmpl w:val="11BA6C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32E5249"/>
    <w:multiLevelType w:val="hybridMultilevel"/>
    <w:tmpl w:val="05C480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B13ECF"/>
    <w:multiLevelType w:val="hybridMultilevel"/>
    <w:tmpl w:val="B99C3D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B8338A"/>
    <w:multiLevelType w:val="hybridMultilevel"/>
    <w:tmpl w:val="E16EF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800092"/>
    <w:multiLevelType w:val="hybridMultilevel"/>
    <w:tmpl w:val="20C464CE"/>
    <w:lvl w:ilvl="0" w:tplc="90B4AF5A">
      <w:start w:val="1"/>
      <w:numFmt w:val="upperLetter"/>
      <w:lvlText w:val="%1."/>
      <w:lvlJc w:val="left"/>
      <w:pPr>
        <w:ind w:left="720" w:hanging="360"/>
      </w:pPr>
      <w:rPr>
        <w:rFonts w:hint="default"/>
        <w:color w:val="1F3864"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993545"/>
    <w:multiLevelType w:val="hybridMultilevel"/>
    <w:tmpl w:val="D9A08188"/>
    <w:lvl w:ilvl="0" w:tplc="B3A40AB0">
      <w:start w:val="1"/>
      <w:numFmt w:val="decimal"/>
      <w:lvlText w:val="%1."/>
      <w:lvlJc w:val="left"/>
      <w:pPr>
        <w:ind w:left="720" w:hanging="360"/>
      </w:pPr>
      <w:rPr>
        <w:rFonts w:hint="default"/>
        <w:b/>
        <w:color w:val="2E74B5"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207EAB"/>
    <w:multiLevelType w:val="hybridMultilevel"/>
    <w:tmpl w:val="D64E055C"/>
    <w:lvl w:ilvl="0" w:tplc="D85273BE">
      <w:start w:val="1"/>
      <w:numFmt w:val="decimal"/>
      <w:lvlText w:val="%1."/>
      <w:lvlJc w:val="left"/>
      <w:pPr>
        <w:ind w:left="1080" w:hanging="360"/>
      </w:pPr>
      <w:rPr>
        <w:b/>
        <w:color w:val="2F5496"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892C30"/>
    <w:multiLevelType w:val="hybridMultilevel"/>
    <w:tmpl w:val="E43EB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4255BA"/>
    <w:multiLevelType w:val="hybridMultilevel"/>
    <w:tmpl w:val="EB02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A64298"/>
    <w:multiLevelType w:val="hybridMultilevel"/>
    <w:tmpl w:val="F324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F2BC3"/>
    <w:multiLevelType w:val="hybridMultilevel"/>
    <w:tmpl w:val="202A4C5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77663B"/>
    <w:multiLevelType w:val="hybridMultilevel"/>
    <w:tmpl w:val="410AA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5031EF0"/>
    <w:multiLevelType w:val="hybridMultilevel"/>
    <w:tmpl w:val="3EB41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F462A2"/>
    <w:multiLevelType w:val="hybridMultilevel"/>
    <w:tmpl w:val="47AA9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0A1661"/>
    <w:multiLevelType w:val="hybridMultilevel"/>
    <w:tmpl w:val="67CA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931772"/>
    <w:multiLevelType w:val="hybridMultilevel"/>
    <w:tmpl w:val="6AEEB5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8FC4FFB"/>
    <w:multiLevelType w:val="hybridMultilevel"/>
    <w:tmpl w:val="109EEB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A003FAF"/>
    <w:multiLevelType w:val="hybridMultilevel"/>
    <w:tmpl w:val="7526C43C"/>
    <w:lvl w:ilvl="0" w:tplc="AB5EA1B4">
      <w:start w:val="1"/>
      <w:numFmt w:val="decimal"/>
      <w:lvlText w:val="%1."/>
      <w:lvlJc w:val="left"/>
      <w:pPr>
        <w:ind w:left="720" w:hanging="360"/>
      </w:pPr>
      <w:rPr>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F71371"/>
    <w:multiLevelType w:val="hybridMultilevel"/>
    <w:tmpl w:val="176E3A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1017D7D"/>
    <w:multiLevelType w:val="hybridMultilevel"/>
    <w:tmpl w:val="F2DA4E2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3A42335"/>
    <w:multiLevelType w:val="hybridMultilevel"/>
    <w:tmpl w:val="C7049D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A838B2"/>
    <w:multiLevelType w:val="hybridMultilevel"/>
    <w:tmpl w:val="8E245C7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9CB2C08"/>
    <w:multiLevelType w:val="hybridMultilevel"/>
    <w:tmpl w:val="0E2E6F8A"/>
    <w:lvl w:ilvl="0" w:tplc="0644CA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5E62CE"/>
    <w:multiLevelType w:val="hybridMultilevel"/>
    <w:tmpl w:val="7BCCE2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DDF2905"/>
    <w:multiLevelType w:val="hybridMultilevel"/>
    <w:tmpl w:val="D2AA691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4"/>
  </w:num>
  <w:num w:numId="3">
    <w:abstractNumId w:val="25"/>
  </w:num>
  <w:num w:numId="4">
    <w:abstractNumId w:val="1"/>
  </w:num>
  <w:num w:numId="5">
    <w:abstractNumId w:val="27"/>
  </w:num>
  <w:num w:numId="6">
    <w:abstractNumId w:val="29"/>
  </w:num>
  <w:num w:numId="7">
    <w:abstractNumId w:val="6"/>
  </w:num>
  <w:num w:numId="8">
    <w:abstractNumId w:val="11"/>
  </w:num>
  <w:num w:numId="9">
    <w:abstractNumId w:val="0"/>
  </w:num>
  <w:num w:numId="10">
    <w:abstractNumId w:val="12"/>
  </w:num>
  <w:num w:numId="11">
    <w:abstractNumId w:val="3"/>
  </w:num>
  <w:num w:numId="12">
    <w:abstractNumId w:val="5"/>
  </w:num>
  <w:num w:numId="13">
    <w:abstractNumId w:val="30"/>
  </w:num>
  <w:num w:numId="14">
    <w:abstractNumId w:val="13"/>
  </w:num>
  <w:num w:numId="15">
    <w:abstractNumId w:val="9"/>
  </w:num>
  <w:num w:numId="16">
    <w:abstractNumId w:val="8"/>
  </w:num>
  <w:num w:numId="17">
    <w:abstractNumId w:val="23"/>
  </w:num>
  <w:num w:numId="18">
    <w:abstractNumId w:val="26"/>
  </w:num>
  <w:num w:numId="19">
    <w:abstractNumId w:val="17"/>
  </w:num>
  <w:num w:numId="20">
    <w:abstractNumId w:val="28"/>
  </w:num>
  <w:num w:numId="21">
    <w:abstractNumId w:val="31"/>
  </w:num>
  <w:num w:numId="22">
    <w:abstractNumId w:val="22"/>
  </w:num>
  <w:num w:numId="23">
    <w:abstractNumId w:val="7"/>
  </w:num>
  <w:num w:numId="24">
    <w:abstractNumId w:val="24"/>
  </w:num>
  <w:num w:numId="25">
    <w:abstractNumId w:val="2"/>
  </w:num>
  <w:num w:numId="26">
    <w:abstractNumId w:val="15"/>
  </w:num>
  <w:num w:numId="27">
    <w:abstractNumId w:val="16"/>
  </w:num>
  <w:num w:numId="28">
    <w:abstractNumId w:val="21"/>
  </w:num>
  <w:num w:numId="29">
    <w:abstractNumId w:val="10"/>
  </w:num>
  <w:num w:numId="30">
    <w:abstractNumId w:val="14"/>
  </w:num>
  <w:num w:numId="31">
    <w:abstractNumId w:val="18"/>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221"/>
    <w:rsid w:val="0000318E"/>
    <w:rsid w:val="00006B51"/>
    <w:rsid w:val="0001467F"/>
    <w:rsid w:val="00073497"/>
    <w:rsid w:val="000746DF"/>
    <w:rsid w:val="000823FC"/>
    <w:rsid w:val="00093242"/>
    <w:rsid w:val="000A360F"/>
    <w:rsid w:val="000B3D31"/>
    <w:rsid w:val="000C3BFE"/>
    <w:rsid w:val="000D7FA8"/>
    <w:rsid w:val="000E0C6C"/>
    <w:rsid w:val="000E31CA"/>
    <w:rsid w:val="000E73AC"/>
    <w:rsid w:val="00106CF5"/>
    <w:rsid w:val="00120373"/>
    <w:rsid w:val="00125F6E"/>
    <w:rsid w:val="0013592C"/>
    <w:rsid w:val="001545B5"/>
    <w:rsid w:val="00154E6C"/>
    <w:rsid w:val="00160126"/>
    <w:rsid w:val="00162066"/>
    <w:rsid w:val="00176BF9"/>
    <w:rsid w:val="00184F53"/>
    <w:rsid w:val="001C5942"/>
    <w:rsid w:val="001D04DA"/>
    <w:rsid w:val="001D20EF"/>
    <w:rsid w:val="001D6390"/>
    <w:rsid w:val="001E1055"/>
    <w:rsid w:val="001E797D"/>
    <w:rsid w:val="001F2CCE"/>
    <w:rsid w:val="001F3FA2"/>
    <w:rsid w:val="00203AC9"/>
    <w:rsid w:val="002138D0"/>
    <w:rsid w:val="00214609"/>
    <w:rsid w:val="00226D2B"/>
    <w:rsid w:val="00227CF1"/>
    <w:rsid w:val="00234F3D"/>
    <w:rsid w:val="0023693F"/>
    <w:rsid w:val="00242C66"/>
    <w:rsid w:val="00252B47"/>
    <w:rsid w:val="00256606"/>
    <w:rsid w:val="00260060"/>
    <w:rsid w:val="00273E63"/>
    <w:rsid w:val="0029361E"/>
    <w:rsid w:val="002A430B"/>
    <w:rsid w:val="002C1415"/>
    <w:rsid w:val="002C1BFD"/>
    <w:rsid w:val="002C4A35"/>
    <w:rsid w:val="002C6B77"/>
    <w:rsid w:val="002C7A61"/>
    <w:rsid w:val="002E1A94"/>
    <w:rsid w:val="0031048B"/>
    <w:rsid w:val="0031107C"/>
    <w:rsid w:val="003137EA"/>
    <w:rsid w:val="00330D8C"/>
    <w:rsid w:val="00350CF3"/>
    <w:rsid w:val="003526B2"/>
    <w:rsid w:val="00353A08"/>
    <w:rsid w:val="00365D6D"/>
    <w:rsid w:val="00366005"/>
    <w:rsid w:val="003707AE"/>
    <w:rsid w:val="00372545"/>
    <w:rsid w:val="00375A52"/>
    <w:rsid w:val="00387969"/>
    <w:rsid w:val="003A196D"/>
    <w:rsid w:val="003A3D63"/>
    <w:rsid w:val="003B6F55"/>
    <w:rsid w:val="003C310C"/>
    <w:rsid w:val="003C4F74"/>
    <w:rsid w:val="003D78BA"/>
    <w:rsid w:val="003E5C03"/>
    <w:rsid w:val="003F06BD"/>
    <w:rsid w:val="00404A41"/>
    <w:rsid w:val="004255D0"/>
    <w:rsid w:val="004308E9"/>
    <w:rsid w:val="004326C5"/>
    <w:rsid w:val="004328EE"/>
    <w:rsid w:val="00437221"/>
    <w:rsid w:val="00445CFA"/>
    <w:rsid w:val="004534F6"/>
    <w:rsid w:val="00454F8B"/>
    <w:rsid w:val="004554D6"/>
    <w:rsid w:val="00467F72"/>
    <w:rsid w:val="004731BB"/>
    <w:rsid w:val="00484912"/>
    <w:rsid w:val="004924BE"/>
    <w:rsid w:val="004936AC"/>
    <w:rsid w:val="00493A86"/>
    <w:rsid w:val="004A26FF"/>
    <w:rsid w:val="004A51C2"/>
    <w:rsid w:val="004C15F2"/>
    <w:rsid w:val="004C4C9B"/>
    <w:rsid w:val="004D0D69"/>
    <w:rsid w:val="004E0950"/>
    <w:rsid w:val="004E0B04"/>
    <w:rsid w:val="004E3966"/>
    <w:rsid w:val="004F36D1"/>
    <w:rsid w:val="00502BF0"/>
    <w:rsid w:val="00506917"/>
    <w:rsid w:val="00513DB7"/>
    <w:rsid w:val="00526925"/>
    <w:rsid w:val="005322C4"/>
    <w:rsid w:val="00540AC8"/>
    <w:rsid w:val="0054106C"/>
    <w:rsid w:val="0055039D"/>
    <w:rsid w:val="00551049"/>
    <w:rsid w:val="0057610D"/>
    <w:rsid w:val="00582EF4"/>
    <w:rsid w:val="00584D6C"/>
    <w:rsid w:val="005A0428"/>
    <w:rsid w:val="005B00F5"/>
    <w:rsid w:val="005B3827"/>
    <w:rsid w:val="005B42A2"/>
    <w:rsid w:val="005B4AC4"/>
    <w:rsid w:val="005C481A"/>
    <w:rsid w:val="005C4BA5"/>
    <w:rsid w:val="005E0B08"/>
    <w:rsid w:val="005E0CA2"/>
    <w:rsid w:val="005F3957"/>
    <w:rsid w:val="0060009B"/>
    <w:rsid w:val="0060456B"/>
    <w:rsid w:val="006130B5"/>
    <w:rsid w:val="00647F1A"/>
    <w:rsid w:val="00652CA6"/>
    <w:rsid w:val="00653A29"/>
    <w:rsid w:val="006614EF"/>
    <w:rsid w:val="006628F7"/>
    <w:rsid w:val="00664320"/>
    <w:rsid w:val="00670E6E"/>
    <w:rsid w:val="006735AE"/>
    <w:rsid w:val="006B13D1"/>
    <w:rsid w:val="006B463E"/>
    <w:rsid w:val="006C5138"/>
    <w:rsid w:val="006C5568"/>
    <w:rsid w:val="006D22D2"/>
    <w:rsid w:val="00707B43"/>
    <w:rsid w:val="00723519"/>
    <w:rsid w:val="0072473E"/>
    <w:rsid w:val="0073281E"/>
    <w:rsid w:val="00732C27"/>
    <w:rsid w:val="00746421"/>
    <w:rsid w:val="00754E55"/>
    <w:rsid w:val="007610E0"/>
    <w:rsid w:val="00765019"/>
    <w:rsid w:val="0076759E"/>
    <w:rsid w:val="0079508F"/>
    <w:rsid w:val="007D185F"/>
    <w:rsid w:val="007D7F83"/>
    <w:rsid w:val="007F3A55"/>
    <w:rsid w:val="007F5D74"/>
    <w:rsid w:val="008231E9"/>
    <w:rsid w:val="008242E0"/>
    <w:rsid w:val="00832B88"/>
    <w:rsid w:val="00841BFB"/>
    <w:rsid w:val="008435CC"/>
    <w:rsid w:val="008442F5"/>
    <w:rsid w:val="00867B3C"/>
    <w:rsid w:val="008815F6"/>
    <w:rsid w:val="00890C97"/>
    <w:rsid w:val="008B46EE"/>
    <w:rsid w:val="008B7035"/>
    <w:rsid w:val="008C2E0F"/>
    <w:rsid w:val="008C35D7"/>
    <w:rsid w:val="008D3BF9"/>
    <w:rsid w:val="008F0274"/>
    <w:rsid w:val="00905505"/>
    <w:rsid w:val="009077FF"/>
    <w:rsid w:val="0092024E"/>
    <w:rsid w:val="00924373"/>
    <w:rsid w:val="009279CF"/>
    <w:rsid w:val="00962BEE"/>
    <w:rsid w:val="00980CFE"/>
    <w:rsid w:val="00996711"/>
    <w:rsid w:val="009A28A1"/>
    <w:rsid w:val="009A6E0E"/>
    <w:rsid w:val="009C7B63"/>
    <w:rsid w:val="009D2423"/>
    <w:rsid w:val="009D69F4"/>
    <w:rsid w:val="009E0416"/>
    <w:rsid w:val="00A028C0"/>
    <w:rsid w:val="00A17D4A"/>
    <w:rsid w:val="00A21BA5"/>
    <w:rsid w:val="00A22D1A"/>
    <w:rsid w:val="00A23561"/>
    <w:rsid w:val="00A24386"/>
    <w:rsid w:val="00A42312"/>
    <w:rsid w:val="00A51977"/>
    <w:rsid w:val="00A52668"/>
    <w:rsid w:val="00A64B58"/>
    <w:rsid w:val="00A8412B"/>
    <w:rsid w:val="00A860EB"/>
    <w:rsid w:val="00AC63DA"/>
    <w:rsid w:val="00AE247B"/>
    <w:rsid w:val="00AF3DA3"/>
    <w:rsid w:val="00AF6263"/>
    <w:rsid w:val="00B01028"/>
    <w:rsid w:val="00B02C58"/>
    <w:rsid w:val="00B05467"/>
    <w:rsid w:val="00B17C56"/>
    <w:rsid w:val="00B211D2"/>
    <w:rsid w:val="00B24B0E"/>
    <w:rsid w:val="00B267A5"/>
    <w:rsid w:val="00B31015"/>
    <w:rsid w:val="00B4017D"/>
    <w:rsid w:val="00B44099"/>
    <w:rsid w:val="00B62F76"/>
    <w:rsid w:val="00B65237"/>
    <w:rsid w:val="00B704E9"/>
    <w:rsid w:val="00B94E6E"/>
    <w:rsid w:val="00B96B46"/>
    <w:rsid w:val="00BA7473"/>
    <w:rsid w:val="00BB09A8"/>
    <w:rsid w:val="00BB0D12"/>
    <w:rsid w:val="00BB1741"/>
    <w:rsid w:val="00BB1A4F"/>
    <w:rsid w:val="00BB1DB5"/>
    <w:rsid w:val="00BB2ACF"/>
    <w:rsid w:val="00BE178F"/>
    <w:rsid w:val="00BE3CB3"/>
    <w:rsid w:val="00BF1132"/>
    <w:rsid w:val="00BF1429"/>
    <w:rsid w:val="00BF541B"/>
    <w:rsid w:val="00BF5F3D"/>
    <w:rsid w:val="00C0008E"/>
    <w:rsid w:val="00C074D4"/>
    <w:rsid w:val="00C12D93"/>
    <w:rsid w:val="00C224EE"/>
    <w:rsid w:val="00C40334"/>
    <w:rsid w:val="00C56538"/>
    <w:rsid w:val="00C57960"/>
    <w:rsid w:val="00CA51F8"/>
    <w:rsid w:val="00CA6C69"/>
    <w:rsid w:val="00CC3453"/>
    <w:rsid w:val="00CC5596"/>
    <w:rsid w:val="00CD075E"/>
    <w:rsid w:val="00CD1887"/>
    <w:rsid w:val="00CD2F89"/>
    <w:rsid w:val="00CD434C"/>
    <w:rsid w:val="00CE191F"/>
    <w:rsid w:val="00CF367C"/>
    <w:rsid w:val="00D05311"/>
    <w:rsid w:val="00D170B7"/>
    <w:rsid w:val="00D21E98"/>
    <w:rsid w:val="00D272B3"/>
    <w:rsid w:val="00D40BFD"/>
    <w:rsid w:val="00D43F0F"/>
    <w:rsid w:val="00D57AAB"/>
    <w:rsid w:val="00D719FE"/>
    <w:rsid w:val="00D955CB"/>
    <w:rsid w:val="00DB6EE2"/>
    <w:rsid w:val="00DC5893"/>
    <w:rsid w:val="00DC5CC5"/>
    <w:rsid w:val="00DC681E"/>
    <w:rsid w:val="00DD0555"/>
    <w:rsid w:val="00DD79C8"/>
    <w:rsid w:val="00DE1988"/>
    <w:rsid w:val="00DE5B7B"/>
    <w:rsid w:val="00DF7386"/>
    <w:rsid w:val="00E21C0E"/>
    <w:rsid w:val="00E37206"/>
    <w:rsid w:val="00E47B49"/>
    <w:rsid w:val="00E637FF"/>
    <w:rsid w:val="00E66552"/>
    <w:rsid w:val="00E67586"/>
    <w:rsid w:val="00E76E1B"/>
    <w:rsid w:val="00E95BE2"/>
    <w:rsid w:val="00E96797"/>
    <w:rsid w:val="00E976EE"/>
    <w:rsid w:val="00EA187D"/>
    <w:rsid w:val="00EA2743"/>
    <w:rsid w:val="00EA2F90"/>
    <w:rsid w:val="00EC5BCE"/>
    <w:rsid w:val="00EC7425"/>
    <w:rsid w:val="00ED10C8"/>
    <w:rsid w:val="00ED39A4"/>
    <w:rsid w:val="00EF3F0C"/>
    <w:rsid w:val="00F03EC5"/>
    <w:rsid w:val="00F103B4"/>
    <w:rsid w:val="00F14D22"/>
    <w:rsid w:val="00F162AA"/>
    <w:rsid w:val="00F32006"/>
    <w:rsid w:val="00F35183"/>
    <w:rsid w:val="00F673D6"/>
    <w:rsid w:val="00F8077F"/>
    <w:rsid w:val="00F97DA1"/>
    <w:rsid w:val="00FA6287"/>
    <w:rsid w:val="00FC1D93"/>
    <w:rsid w:val="00FC58BD"/>
    <w:rsid w:val="00FD0C6D"/>
    <w:rsid w:val="00FD27D9"/>
    <w:rsid w:val="00FD33DB"/>
    <w:rsid w:val="00FE0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A451E"/>
  <w15:chartTrackingRefBased/>
  <w15:docId w15:val="{7138D5BB-A717-114F-BCB3-21A86F68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F89"/>
  </w:style>
  <w:style w:type="paragraph" w:styleId="Heading2">
    <w:name w:val="heading 2"/>
    <w:link w:val="Heading2Char"/>
    <w:uiPriority w:val="9"/>
    <w:unhideWhenUsed/>
    <w:qFormat/>
    <w:rsid w:val="00CA6C69"/>
    <w:pPr>
      <w:spacing w:before="200" w:after="120"/>
      <w:outlineLvl w:val="1"/>
    </w:pPr>
    <w:rPr>
      <w:rFonts w:ascii="Arial" w:eastAsia="Arial" w:hAnsi="Arial" w:cs="Arial"/>
      <w:b/>
      <w:bCs/>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81A"/>
    <w:pPr>
      <w:ind w:left="720"/>
      <w:contextualSpacing/>
    </w:pPr>
  </w:style>
  <w:style w:type="character" w:styleId="Hyperlink">
    <w:name w:val="Hyperlink"/>
    <w:basedOn w:val="DefaultParagraphFont"/>
    <w:uiPriority w:val="99"/>
    <w:unhideWhenUsed/>
    <w:rsid w:val="00FA6287"/>
    <w:rPr>
      <w:color w:val="0563C1" w:themeColor="hyperlink"/>
      <w:u w:val="single"/>
    </w:rPr>
  </w:style>
  <w:style w:type="character" w:styleId="UnresolvedMention">
    <w:name w:val="Unresolved Mention"/>
    <w:basedOn w:val="DefaultParagraphFont"/>
    <w:uiPriority w:val="99"/>
    <w:semiHidden/>
    <w:unhideWhenUsed/>
    <w:rsid w:val="00FA6287"/>
    <w:rPr>
      <w:color w:val="605E5C"/>
      <w:shd w:val="clear" w:color="auto" w:fill="E1DFDD"/>
    </w:rPr>
  </w:style>
  <w:style w:type="character" w:styleId="FollowedHyperlink">
    <w:name w:val="FollowedHyperlink"/>
    <w:basedOn w:val="DefaultParagraphFont"/>
    <w:uiPriority w:val="99"/>
    <w:semiHidden/>
    <w:unhideWhenUsed/>
    <w:rsid w:val="003A196D"/>
    <w:rPr>
      <w:color w:val="954F72" w:themeColor="followedHyperlink"/>
      <w:u w:val="single"/>
    </w:rPr>
  </w:style>
  <w:style w:type="character" w:customStyle="1" w:styleId="Heading2Char">
    <w:name w:val="Heading 2 Char"/>
    <w:basedOn w:val="DefaultParagraphFont"/>
    <w:link w:val="Heading2"/>
    <w:uiPriority w:val="9"/>
    <w:rsid w:val="00CA6C69"/>
    <w:rPr>
      <w:rFonts w:ascii="Arial" w:eastAsia="Arial" w:hAnsi="Arial" w:cs="Arial"/>
      <w:b/>
      <w:bCs/>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68697">
      <w:bodyDiv w:val="1"/>
      <w:marLeft w:val="0"/>
      <w:marRight w:val="0"/>
      <w:marTop w:val="0"/>
      <w:marBottom w:val="0"/>
      <w:divBdr>
        <w:top w:val="none" w:sz="0" w:space="0" w:color="auto"/>
        <w:left w:val="none" w:sz="0" w:space="0" w:color="auto"/>
        <w:bottom w:val="none" w:sz="0" w:space="0" w:color="auto"/>
        <w:right w:val="none" w:sz="0" w:space="0" w:color="auto"/>
      </w:divBdr>
    </w:div>
    <w:div w:id="192349882">
      <w:bodyDiv w:val="1"/>
      <w:marLeft w:val="0"/>
      <w:marRight w:val="0"/>
      <w:marTop w:val="0"/>
      <w:marBottom w:val="0"/>
      <w:divBdr>
        <w:top w:val="none" w:sz="0" w:space="0" w:color="auto"/>
        <w:left w:val="none" w:sz="0" w:space="0" w:color="auto"/>
        <w:bottom w:val="none" w:sz="0" w:space="0" w:color="auto"/>
        <w:right w:val="none" w:sz="0" w:space="0" w:color="auto"/>
      </w:divBdr>
    </w:div>
    <w:div w:id="217055819">
      <w:bodyDiv w:val="1"/>
      <w:marLeft w:val="0"/>
      <w:marRight w:val="0"/>
      <w:marTop w:val="0"/>
      <w:marBottom w:val="0"/>
      <w:divBdr>
        <w:top w:val="none" w:sz="0" w:space="0" w:color="auto"/>
        <w:left w:val="none" w:sz="0" w:space="0" w:color="auto"/>
        <w:bottom w:val="none" w:sz="0" w:space="0" w:color="auto"/>
        <w:right w:val="none" w:sz="0" w:space="0" w:color="auto"/>
      </w:divBdr>
    </w:div>
    <w:div w:id="294794209">
      <w:bodyDiv w:val="1"/>
      <w:marLeft w:val="0"/>
      <w:marRight w:val="0"/>
      <w:marTop w:val="0"/>
      <w:marBottom w:val="0"/>
      <w:divBdr>
        <w:top w:val="none" w:sz="0" w:space="0" w:color="auto"/>
        <w:left w:val="none" w:sz="0" w:space="0" w:color="auto"/>
        <w:bottom w:val="none" w:sz="0" w:space="0" w:color="auto"/>
        <w:right w:val="none" w:sz="0" w:space="0" w:color="auto"/>
      </w:divBdr>
    </w:div>
    <w:div w:id="295569573">
      <w:bodyDiv w:val="1"/>
      <w:marLeft w:val="0"/>
      <w:marRight w:val="0"/>
      <w:marTop w:val="0"/>
      <w:marBottom w:val="0"/>
      <w:divBdr>
        <w:top w:val="none" w:sz="0" w:space="0" w:color="auto"/>
        <w:left w:val="none" w:sz="0" w:space="0" w:color="auto"/>
        <w:bottom w:val="none" w:sz="0" w:space="0" w:color="auto"/>
        <w:right w:val="none" w:sz="0" w:space="0" w:color="auto"/>
      </w:divBdr>
    </w:div>
    <w:div w:id="911621080">
      <w:bodyDiv w:val="1"/>
      <w:marLeft w:val="0"/>
      <w:marRight w:val="0"/>
      <w:marTop w:val="0"/>
      <w:marBottom w:val="0"/>
      <w:divBdr>
        <w:top w:val="none" w:sz="0" w:space="0" w:color="auto"/>
        <w:left w:val="none" w:sz="0" w:space="0" w:color="auto"/>
        <w:bottom w:val="none" w:sz="0" w:space="0" w:color="auto"/>
        <w:right w:val="none" w:sz="0" w:space="0" w:color="auto"/>
      </w:divBdr>
    </w:div>
    <w:div w:id="939680854">
      <w:bodyDiv w:val="1"/>
      <w:marLeft w:val="0"/>
      <w:marRight w:val="0"/>
      <w:marTop w:val="0"/>
      <w:marBottom w:val="0"/>
      <w:divBdr>
        <w:top w:val="none" w:sz="0" w:space="0" w:color="auto"/>
        <w:left w:val="none" w:sz="0" w:space="0" w:color="auto"/>
        <w:bottom w:val="none" w:sz="0" w:space="0" w:color="auto"/>
        <w:right w:val="none" w:sz="0" w:space="0" w:color="auto"/>
      </w:divBdr>
    </w:div>
    <w:div w:id="1027875893">
      <w:bodyDiv w:val="1"/>
      <w:marLeft w:val="0"/>
      <w:marRight w:val="0"/>
      <w:marTop w:val="0"/>
      <w:marBottom w:val="0"/>
      <w:divBdr>
        <w:top w:val="none" w:sz="0" w:space="0" w:color="auto"/>
        <w:left w:val="none" w:sz="0" w:space="0" w:color="auto"/>
        <w:bottom w:val="none" w:sz="0" w:space="0" w:color="auto"/>
        <w:right w:val="none" w:sz="0" w:space="0" w:color="auto"/>
      </w:divBdr>
    </w:div>
    <w:div w:id="1097285035">
      <w:bodyDiv w:val="1"/>
      <w:marLeft w:val="0"/>
      <w:marRight w:val="0"/>
      <w:marTop w:val="0"/>
      <w:marBottom w:val="0"/>
      <w:divBdr>
        <w:top w:val="none" w:sz="0" w:space="0" w:color="auto"/>
        <w:left w:val="none" w:sz="0" w:space="0" w:color="auto"/>
        <w:bottom w:val="none" w:sz="0" w:space="0" w:color="auto"/>
        <w:right w:val="none" w:sz="0" w:space="0" w:color="auto"/>
      </w:divBdr>
    </w:div>
    <w:div w:id="1172911797">
      <w:bodyDiv w:val="1"/>
      <w:marLeft w:val="0"/>
      <w:marRight w:val="0"/>
      <w:marTop w:val="0"/>
      <w:marBottom w:val="0"/>
      <w:divBdr>
        <w:top w:val="none" w:sz="0" w:space="0" w:color="auto"/>
        <w:left w:val="none" w:sz="0" w:space="0" w:color="auto"/>
        <w:bottom w:val="none" w:sz="0" w:space="0" w:color="auto"/>
        <w:right w:val="none" w:sz="0" w:space="0" w:color="auto"/>
      </w:divBdr>
    </w:div>
    <w:div w:id="1260672620">
      <w:bodyDiv w:val="1"/>
      <w:marLeft w:val="0"/>
      <w:marRight w:val="0"/>
      <w:marTop w:val="0"/>
      <w:marBottom w:val="0"/>
      <w:divBdr>
        <w:top w:val="none" w:sz="0" w:space="0" w:color="auto"/>
        <w:left w:val="none" w:sz="0" w:space="0" w:color="auto"/>
        <w:bottom w:val="none" w:sz="0" w:space="0" w:color="auto"/>
        <w:right w:val="none" w:sz="0" w:space="0" w:color="auto"/>
      </w:divBdr>
    </w:div>
    <w:div w:id="1283682363">
      <w:bodyDiv w:val="1"/>
      <w:marLeft w:val="0"/>
      <w:marRight w:val="0"/>
      <w:marTop w:val="0"/>
      <w:marBottom w:val="0"/>
      <w:divBdr>
        <w:top w:val="none" w:sz="0" w:space="0" w:color="auto"/>
        <w:left w:val="none" w:sz="0" w:space="0" w:color="auto"/>
        <w:bottom w:val="none" w:sz="0" w:space="0" w:color="auto"/>
        <w:right w:val="none" w:sz="0" w:space="0" w:color="auto"/>
      </w:divBdr>
    </w:div>
    <w:div w:id="1425955052">
      <w:bodyDiv w:val="1"/>
      <w:marLeft w:val="0"/>
      <w:marRight w:val="0"/>
      <w:marTop w:val="0"/>
      <w:marBottom w:val="0"/>
      <w:divBdr>
        <w:top w:val="none" w:sz="0" w:space="0" w:color="auto"/>
        <w:left w:val="none" w:sz="0" w:space="0" w:color="auto"/>
        <w:bottom w:val="none" w:sz="0" w:space="0" w:color="auto"/>
        <w:right w:val="none" w:sz="0" w:space="0" w:color="auto"/>
      </w:divBdr>
    </w:div>
    <w:div w:id="1679624186">
      <w:bodyDiv w:val="1"/>
      <w:marLeft w:val="0"/>
      <w:marRight w:val="0"/>
      <w:marTop w:val="0"/>
      <w:marBottom w:val="0"/>
      <w:divBdr>
        <w:top w:val="none" w:sz="0" w:space="0" w:color="auto"/>
        <w:left w:val="none" w:sz="0" w:space="0" w:color="auto"/>
        <w:bottom w:val="none" w:sz="0" w:space="0" w:color="auto"/>
        <w:right w:val="none" w:sz="0" w:space="0" w:color="auto"/>
      </w:divBdr>
    </w:div>
    <w:div w:id="1712414530">
      <w:bodyDiv w:val="1"/>
      <w:marLeft w:val="0"/>
      <w:marRight w:val="0"/>
      <w:marTop w:val="0"/>
      <w:marBottom w:val="0"/>
      <w:divBdr>
        <w:top w:val="none" w:sz="0" w:space="0" w:color="auto"/>
        <w:left w:val="none" w:sz="0" w:space="0" w:color="auto"/>
        <w:bottom w:val="none" w:sz="0" w:space="0" w:color="auto"/>
        <w:right w:val="none" w:sz="0" w:space="0" w:color="auto"/>
      </w:divBdr>
    </w:div>
    <w:div w:id="1873420532">
      <w:bodyDiv w:val="1"/>
      <w:marLeft w:val="0"/>
      <w:marRight w:val="0"/>
      <w:marTop w:val="0"/>
      <w:marBottom w:val="0"/>
      <w:divBdr>
        <w:top w:val="none" w:sz="0" w:space="0" w:color="auto"/>
        <w:left w:val="none" w:sz="0" w:space="0" w:color="auto"/>
        <w:bottom w:val="none" w:sz="0" w:space="0" w:color="auto"/>
        <w:right w:val="none" w:sz="0" w:space="0" w:color="auto"/>
      </w:divBdr>
    </w:div>
    <w:div w:id="1888756063">
      <w:bodyDiv w:val="1"/>
      <w:marLeft w:val="0"/>
      <w:marRight w:val="0"/>
      <w:marTop w:val="0"/>
      <w:marBottom w:val="0"/>
      <w:divBdr>
        <w:top w:val="none" w:sz="0" w:space="0" w:color="auto"/>
        <w:left w:val="none" w:sz="0" w:space="0" w:color="auto"/>
        <w:bottom w:val="none" w:sz="0" w:space="0" w:color="auto"/>
        <w:right w:val="none" w:sz="0" w:space="0" w:color="auto"/>
      </w:divBdr>
    </w:div>
    <w:div w:id="2018775892">
      <w:bodyDiv w:val="1"/>
      <w:marLeft w:val="0"/>
      <w:marRight w:val="0"/>
      <w:marTop w:val="0"/>
      <w:marBottom w:val="0"/>
      <w:divBdr>
        <w:top w:val="none" w:sz="0" w:space="0" w:color="auto"/>
        <w:left w:val="none" w:sz="0" w:space="0" w:color="auto"/>
        <w:bottom w:val="none" w:sz="0" w:space="0" w:color="auto"/>
        <w:right w:val="none" w:sz="0" w:space="0" w:color="auto"/>
      </w:divBdr>
    </w:div>
    <w:div w:id="214480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an.in/resources/articles/the-importance-and-challenges-of-monitoring-water-quality" TargetMode="External"/><Relationship Id="rId13" Type="http://schemas.openxmlformats.org/officeDocument/2006/relationships/hyperlink" Target="https://www.svan.in/resources/articles/the-importance-and-challenges-of-monitoring-water-quality" TargetMode="External"/><Relationship Id="rId3" Type="http://schemas.openxmlformats.org/officeDocument/2006/relationships/settings" Target="settings.xml"/><Relationship Id="rId7" Type="http://schemas.openxmlformats.org/officeDocument/2006/relationships/hyperlink" Target="https://www.sciencedirect.com/science/article/abs/pii/S0048969720375884?via%3Dihub" TargetMode="External"/><Relationship Id="rId12" Type="http://schemas.openxmlformats.org/officeDocument/2006/relationships/hyperlink" Target="https://www.sciencedirect.com/science/article/abs/pii/S0048969720375884?via%3Dihu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pa.gov/dwreginfo/drinking-water-regulations" TargetMode="External"/><Relationship Id="rId11" Type="http://schemas.openxmlformats.org/officeDocument/2006/relationships/hyperlink" Target="https://www.epa.gov/dwreginfo/drinking-water-regulations" TargetMode="External"/><Relationship Id="rId5" Type="http://schemas.openxmlformats.org/officeDocument/2006/relationships/hyperlink" Target="https://www.nps.gov/common/uploads/teachers/lessonplans/Indicators%20of%20Water%20Quality%20Presentation.pdf" TargetMode="External"/><Relationship Id="rId15" Type="http://schemas.openxmlformats.org/officeDocument/2006/relationships/fontTable" Target="fontTable.xml"/><Relationship Id="rId10" Type="http://schemas.openxmlformats.org/officeDocument/2006/relationships/hyperlink" Target="https://www.nps.gov/common/uploads/teachers/lessonplans/Indicators%20of%20Water%20Quality%20Presentation.pdf" TargetMode="External"/><Relationship Id="rId4" Type="http://schemas.openxmlformats.org/officeDocument/2006/relationships/webSettings" Target="webSettings.xml"/><Relationship Id="rId9" Type="http://schemas.openxmlformats.org/officeDocument/2006/relationships/hyperlink" Target="https://www.epa.gov/compliance/safe-drinking-water-act-compliance-monitoring" TargetMode="External"/><Relationship Id="rId14" Type="http://schemas.openxmlformats.org/officeDocument/2006/relationships/hyperlink" Target="https://www.epa.gov/compliance/safe-drinking-water-act-compliance-monito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523AB2-F0AA-0E42-B91C-B7616D2B446E}">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499</TotalTime>
  <Pages>3</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dcterms:created xsi:type="dcterms:W3CDTF">2026-02-10T14:37:00Z</dcterms:created>
  <dcterms:modified xsi:type="dcterms:W3CDTF">2026-02-20T21:46:00Z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documentId_1937</vt:lpwstr>
  </property>
  <property fmtid="{D5CDD505-2E9C-101B-9397-08002B2CF9AE}" pid="3" name="grammarly_documentContext">
    <vt:lpwstr>{"goals":[],"domain":"general","emotions":[],"dialect":"american"}</vt:lpwstr>
  </property>
</Properties>
</file>