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782AF" w14:textId="482244B1" w:rsidR="00960D51" w:rsidRPr="00EE250A" w:rsidRDefault="00CB7121" w:rsidP="00CB7121">
      <w:pPr>
        <w:spacing w:line="276" w:lineRule="auto"/>
        <w:jc w:val="center"/>
        <w:rPr>
          <w:rFonts w:ascii="Calibri" w:eastAsia="Aptos" w:hAnsi="Calibri" w:cs="Calibri"/>
          <w:b/>
          <w:bCs/>
          <w:sz w:val="36"/>
          <w:szCs w:val="36"/>
        </w:rPr>
      </w:pPr>
      <w:r w:rsidRPr="00EE250A">
        <w:rPr>
          <w:rFonts w:ascii="Calibri" w:eastAsia="Aptos" w:hAnsi="Calibri" w:cs="Calibri"/>
          <w:b/>
          <w:bCs/>
          <w:sz w:val="36"/>
          <w:szCs w:val="36"/>
        </w:rPr>
        <w:t>D459 Case Studies</w:t>
      </w:r>
    </w:p>
    <w:p w14:paraId="79784904" w14:textId="77777777" w:rsidR="000B16A8" w:rsidRDefault="5141438D" w:rsidP="452FDB53">
      <w:pPr>
        <w:spacing w:line="276" w:lineRule="auto"/>
        <w:rPr>
          <w:rFonts w:ascii="Calibri" w:eastAsia="Aptos" w:hAnsi="Calibri" w:cs="Calibri"/>
        </w:rPr>
      </w:pPr>
      <w:r w:rsidRPr="452FDB53">
        <w:rPr>
          <w:rFonts w:ascii="Calibri" w:eastAsia="Aptos" w:hAnsi="Calibri" w:cs="Calibri"/>
        </w:rPr>
        <w:t xml:space="preserve">Select one of the following case studies to analyze in your response </w:t>
      </w:r>
      <w:r w:rsidR="30063341" w:rsidRPr="452FDB53">
        <w:rPr>
          <w:rFonts w:ascii="Calibri" w:eastAsia="Aptos" w:hAnsi="Calibri" w:cs="Calibri"/>
        </w:rPr>
        <w:t>to Task 3</w:t>
      </w:r>
      <w:r w:rsidRPr="452FDB53">
        <w:rPr>
          <w:rFonts w:ascii="Calibri" w:eastAsia="Aptos" w:hAnsi="Calibri" w:cs="Calibri"/>
        </w:rPr>
        <w:t xml:space="preserve">. </w:t>
      </w:r>
    </w:p>
    <w:p w14:paraId="7CCF6658" w14:textId="3E1F37C8" w:rsidR="00960D51" w:rsidRDefault="5141438D" w:rsidP="452FDB53">
      <w:pPr>
        <w:spacing w:line="276" w:lineRule="auto"/>
        <w:rPr>
          <w:rFonts w:ascii="Calibri" w:eastAsia="Aptos" w:hAnsi="Calibri" w:cs="Calibri"/>
        </w:rPr>
      </w:pPr>
      <w:r w:rsidRPr="452FDB53">
        <w:rPr>
          <w:rFonts w:ascii="Calibri" w:eastAsia="Aptos" w:hAnsi="Calibri" w:cs="Calibri"/>
        </w:rPr>
        <w:t>You may choose</w:t>
      </w:r>
      <w:r w:rsidR="7FB246FD" w:rsidRPr="452FDB53">
        <w:rPr>
          <w:rFonts w:ascii="Calibri" w:eastAsia="Aptos" w:hAnsi="Calibri" w:cs="Calibri"/>
        </w:rPr>
        <w:t xml:space="preserve"> </w:t>
      </w:r>
      <w:r w:rsidR="00F11371">
        <w:rPr>
          <w:rFonts w:ascii="Calibri" w:eastAsia="Aptos" w:hAnsi="Calibri" w:cs="Calibri"/>
        </w:rPr>
        <w:t>the</w:t>
      </w:r>
      <w:r w:rsidR="7FB246FD" w:rsidRPr="452FDB53">
        <w:rPr>
          <w:rFonts w:ascii="Calibri" w:eastAsia="Aptos" w:hAnsi="Calibri" w:cs="Calibri"/>
        </w:rPr>
        <w:t xml:space="preserve"> </w:t>
      </w:r>
      <w:r w:rsidR="043B37C0" w:rsidRPr="162FC069">
        <w:rPr>
          <w:rFonts w:ascii="Calibri" w:eastAsia="Aptos" w:hAnsi="Calibri" w:cs="Calibri"/>
        </w:rPr>
        <w:t xml:space="preserve">case study </w:t>
      </w:r>
      <w:r w:rsidR="0004672B">
        <w:rPr>
          <w:rFonts w:ascii="Calibri" w:eastAsia="Aptos" w:hAnsi="Calibri" w:cs="Calibri"/>
        </w:rPr>
        <w:t>aligned</w:t>
      </w:r>
      <w:r w:rsidR="043B37C0" w:rsidRPr="162FC069">
        <w:rPr>
          <w:rFonts w:ascii="Calibri" w:eastAsia="Aptos" w:hAnsi="Calibri" w:cs="Calibri"/>
        </w:rPr>
        <w:t xml:space="preserve"> with </w:t>
      </w:r>
      <w:r w:rsidR="043B37C0" w:rsidRPr="1191339B">
        <w:rPr>
          <w:rFonts w:ascii="Calibri" w:eastAsia="Aptos" w:hAnsi="Calibri" w:cs="Calibri"/>
        </w:rPr>
        <w:t xml:space="preserve">your school or </w:t>
      </w:r>
      <w:r w:rsidR="00E04220">
        <w:rPr>
          <w:rFonts w:ascii="Calibri" w:eastAsia="Aptos" w:hAnsi="Calibri" w:cs="Calibri"/>
        </w:rPr>
        <w:t>one of the</w:t>
      </w:r>
      <w:r w:rsidR="043B37C0" w:rsidRPr="6F23ABB6">
        <w:rPr>
          <w:rFonts w:ascii="Calibri" w:eastAsia="Aptos" w:hAnsi="Calibri" w:cs="Calibri"/>
        </w:rPr>
        <w:t xml:space="preserve"> </w:t>
      </w:r>
      <w:r w:rsidR="54EB25A1" w:rsidRPr="6F23ABB6">
        <w:rPr>
          <w:rFonts w:ascii="Calibri" w:eastAsia="Aptos" w:hAnsi="Calibri" w:cs="Calibri"/>
        </w:rPr>
        <w:t>general</w:t>
      </w:r>
      <w:r w:rsidR="7FB246FD" w:rsidRPr="452FDB53">
        <w:rPr>
          <w:rFonts w:ascii="Calibri" w:eastAsia="Aptos" w:hAnsi="Calibri" w:cs="Calibri"/>
        </w:rPr>
        <w:t xml:space="preserve"> case stud</w:t>
      </w:r>
      <w:r w:rsidR="00E04220">
        <w:rPr>
          <w:rFonts w:ascii="Calibri" w:eastAsia="Aptos" w:hAnsi="Calibri" w:cs="Calibri"/>
        </w:rPr>
        <w:t>ies</w:t>
      </w:r>
      <w:r w:rsidR="6D3BC04E" w:rsidRPr="6F23ABB6">
        <w:rPr>
          <w:rFonts w:ascii="Calibri" w:eastAsia="Aptos" w:hAnsi="Calibri" w:cs="Calibri"/>
        </w:rPr>
        <w:t>.</w:t>
      </w:r>
      <w:r w:rsidR="25A618E0" w:rsidRPr="70B6AEAD">
        <w:rPr>
          <w:rFonts w:ascii="Calibri" w:eastAsia="Aptos" w:hAnsi="Calibri" w:cs="Calibri"/>
        </w:rPr>
        <w:t xml:space="preserve"> </w:t>
      </w:r>
    </w:p>
    <w:p w14:paraId="2F1C071E" w14:textId="77777777" w:rsidR="00614D28" w:rsidRPr="00CB7121" w:rsidRDefault="00614D28" w:rsidP="452FDB53">
      <w:pPr>
        <w:spacing w:line="276" w:lineRule="auto"/>
        <w:rPr>
          <w:rFonts w:ascii="Calibri" w:eastAsia="Aptos" w:hAnsi="Calibri" w:cs="Calibri"/>
        </w:rPr>
      </w:pPr>
    </w:p>
    <w:sdt>
      <w:sdtPr>
        <w:id w:val="342437533"/>
        <w:docPartObj>
          <w:docPartGallery w:val="Table of Contents"/>
          <w:docPartUnique/>
        </w:docPartObj>
      </w:sdtPr>
      <w:sdtEndPr/>
      <w:sdtContent>
        <w:p w14:paraId="2E610B5C" w14:textId="7479517E" w:rsidR="452FDB53" w:rsidRDefault="452FDB53" w:rsidP="452FDB53">
          <w:pPr>
            <w:pStyle w:val="TOC1"/>
            <w:tabs>
              <w:tab w:val="right" w:leader="dot" w:pos="9360"/>
            </w:tabs>
            <w:rPr>
              <w:rStyle w:val="Hyperlink"/>
            </w:rPr>
          </w:pPr>
          <w:r>
            <w:fldChar w:fldCharType="begin"/>
          </w:r>
          <w:r>
            <w:instrText>TOC \o \z \u \h</w:instrText>
          </w:r>
          <w:r>
            <w:fldChar w:fldCharType="separate"/>
          </w:r>
          <w:hyperlink w:anchor="_Toc409192334">
            <w:r w:rsidRPr="452FDB53">
              <w:rPr>
                <w:rStyle w:val="Hyperlink"/>
              </w:rPr>
              <w:t>School of Business</w:t>
            </w:r>
            <w:r>
              <w:tab/>
            </w:r>
            <w:r>
              <w:fldChar w:fldCharType="begin"/>
            </w:r>
            <w:r>
              <w:instrText>PAGEREF _Toc409192334 \h</w:instrText>
            </w:r>
            <w:r>
              <w:fldChar w:fldCharType="separate"/>
            </w:r>
            <w:r w:rsidRPr="452FDB53">
              <w:rPr>
                <w:rStyle w:val="Hyperlink"/>
              </w:rPr>
              <w:t>1</w:t>
            </w:r>
            <w:r>
              <w:fldChar w:fldCharType="end"/>
            </w:r>
          </w:hyperlink>
        </w:p>
        <w:p w14:paraId="68CB35F0" w14:textId="334F8EC2" w:rsidR="452FDB53" w:rsidRDefault="00115F16" w:rsidP="452FDB53">
          <w:pPr>
            <w:pStyle w:val="TOC1"/>
            <w:tabs>
              <w:tab w:val="right" w:leader="dot" w:pos="9360"/>
            </w:tabs>
            <w:rPr>
              <w:rStyle w:val="Hyperlink"/>
            </w:rPr>
          </w:pPr>
          <w:hyperlink w:anchor="_Toc1753240284">
            <w:r w:rsidR="452FDB53" w:rsidRPr="452FDB53">
              <w:rPr>
                <w:rStyle w:val="Hyperlink"/>
              </w:rPr>
              <w:t>School of Education</w:t>
            </w:r>
            <w:r w:rsidR="452FDB53">
              <w:tab/>
            </w:r>
            <w:r w:rsidR="452FDB53">
              <w:fldChar w:fldCharType="begin"/>
            </w:r>
            <w:r w:rsidR="452FDB53">
              <w:instrText>PAGEREF _Toc1753240284 \h</w:instrText>
            </w:r>
            <w:r w:rsidR="452FDB53">
              <w:fldChar w:fldCharType="separate"/>
            </w:r>
            <w:r w:rsidR="452FDB53" w:rsidRPr="452FDB53">
              <w:rPr>
                <w:rStyle w:val="Hyperlink"/>
              </w:rPr>
              <w:t>2</w:t>
            </w:r>
            <w:r w:rsidR="452FDB53">
              <w:fldChar w:fldCharType="end"/>
            </w:r>
          </w:hyperlink>
        </w:p>
        <w:p w14:paraId="18169684" w14:textId="3C7FCBD5" w:rsidR="452FDB53" w:rsidRDefault="00115F16" w:rsidP="452FDB53">
          <w:pPr>
            <w:pStyle w:val="TOC1"/>
            <w:tabs>
              <w:tab w:val="right" w:leader="dot" w:pos="9360"/>
            </w:tabs>
            <w:rPr>
              <w:rStyle w:val="Hyperlink"/>
            </w:rPr>
          </w:pPr>
          <w:hyperlink w:anchor="_Toc1669240132">
            <w:r w:rsidR="452FDB53" w:rsidRPr="452FDB53">
              <w:rPr>
                <w:rStyle w:val="Hyperlink"/>
              </w:rPr>
              <w:t>School of Technology</w:t>
            </w:r>
            <w:r w:rsidR="452FDB53">
              <w:tab/>
            </w:r>
            <w:r w:rsidR="452FDB53">
              <w:fldChar w:fldCharType="begin"/>
            </w:r>
            <w:r w:rsidR="452FDB53">
              <w:instrText>PAGEREF _Toc1669240132 \h</w:instrText>
            </w:r>
            <w:r w:rsidR="452FDB53">
              <w:fldChar w:fldCharType="separate"/>
            </w:r>
            <w:r w:rsidR="452FDB53" w:rsidRPr="452FDB53">
              <w:rPr>
                <w:rStyle w:val="Hyperlink"/>
              </w:rPr>
              <w:t>3</w:t>
            </w:r>
            <w:r w:rsidR="452FDB53">
              <w:fldChar w:fldCharType="end"/>
            </w:r>
          </w:hyperlink>
        </w:p>
        <w:p w14:paraId="4355794F" w14:textId="4A474835" w:rsidR="452FDB53" w:rsidRDefault="00115F16" w:rsidP="452FDB53">
          <w:pPr>
            <w:pStyle w:val="TOC1"/>
            <w:tabs>
              <w:tab w:val="right" w:leader="dot" w:pos="9360"/>
            </w:tabs>
            <w:rPr>
              <w:rStyle w:val="Hyperlink"/>
            </w:rPr>
          </w:pPr>
          <w:hyperlink w:anchor="_Toc683649060">
            <w:r w:rsidR="452FDB53" w:rsidRPr="452FDB53">
              <w:rPr>
                <w:rStyle w:val="Hyperlink"/>
              </w:rPr>
              <w:t>Leavitt School of Health</w:t>
            </w:r>
            <w:r w:rsidR="452FDB53">
              <w:tab/>
            </w:r>
            <w:r w:rsidR="452FDB53">
              <w:fldChar w:fldCharType="begin"/>
            </w:r>
            <w:r w:rsidR="452FDB53">
              <w:instrText>PAGEREF _Toc683649060 \h</w:instrText>
            </w:r>
            <w:r w:rsidR="452FDB53">
              <w:fldChar w:fldCharType="separate"/>
            </w:r>
            <w:r w:rsidR="452FDB53" w:rsidRPr="452FDB53">
              <w:rPr>
                <w:rStyle w:val="Hyperlink"/>
              </w:rPr>
              <w:t>4</w:t>
            </w:r>
            <w:r w:rsidR="452FDB53">
              <w:fldChar w:fldCharType="end"/>
            </w:r>
          </w:hyperlink>
        </w:p>
        <w:p w14:paraId="7BB01FA1" w14:textId="3CECB67F" w:rsidR="452FDB53" w:rsidRDefault="00115F16" w:rsidP="452FDB53">
          <w:pPr>
            <w:pStyle w:val="TOC1"/>
            <w:tabs>
              <w:tab w:val="right" w:leader="dot" w:pos="9360"/>
            </w:tabs>
            <w:rPr>
              <w:rStyle w:val="Hyperlink"/>
            </w:rPr>
          </w:pPr>
          <w:hyperlink w:anchor="_Toc492534788">
            <w:r w:rsidR="452FDB53" w:rsidRPr="452FDB53">
              <w:rPr>
                <w:rStyle w:val="Hyperlink"/>
              </w:rPr>
              <w:t>General Case Study 1</w:t>
            </w:r>
            <w:r w:rsidR="452FDB53">
              <w:tab/>
            </w:r>
            <w:r w:rsidR="452FDB53">
              <w:fldChar w:fldCharType="begin"/>
            </w:r>
            <w:r w:rsidR="452FDB53">
              <w:instrText>PAGEREF _Toc492534788 \h</w:instrText>
            </w:r>
            <w:r w:rsidR="452FDB53">
              <w:fldChar w:fldCharType="separate"/>
            </w:r>
            <w:r w:rsidR="452FDB53" w:rsidRPr="452FDB53">
              <w:rPr>
                <w:rStyle w:val="Hyperlink"/>
              </w:rPr>
              <w:t>5</w:t>
            </w:r>
            <w:r w:rsidR="452FDB53">
              <w:fldChar w:fldCharType="end"/>
            </w:r>
          </w:hyperlink>
        </w:p>
        <w:p w14:paraId="2A631175" w14:textId="1254277F" w:rsidR="452FDB53" w:rsidRDefault="00115F16" w:rsidP="452FDB53">
          <w:pPr>
            <w:pStyle w:val="TOC1"/>
            <w:tabs>
              <w:tab w:val="right" w:leader="dot" w:pos="9360"/>
            </w:tabs>
            <w:rPr>
              <w:rStyle w:val="Hyperlink"/>
            </w:rPr>
          </w:pPr>
          <w:hyperlink w:anchor="_Toc455774276">
            <w:r w:rsidR="452FDB53" w:rsidRPr="452FDB53">
              <w:rPr>
                <w:rStyle w:val="Hyperlink"/>
              </w:rPr>
              <w:t>General Case Study 2</w:t>
            </w:r>
            <w:r w:rsidR="452FDB53">
              <w:tab/>
            </w:r>
            <w:r w:rsidR="452FDB53">
              <w:fldChar w:fldCharType="begin"/>
            </w:r>
            <w:r w:rsidR="452FDB53">
              <w:instrText>PAGEREF _Toc455774276 \h</w:instrText>
            </w:r>
            <w:r w:rsidR="452FDB53">
              <w:fldChar w:fldCharType="separate"/>
            </w:r>
            <w:r w:rsidR="452FDB53" w:rsidRPr="452FDB53">
              <w:rPr>
                <w:rStyle w:val="Hyperlink"/>
              </w:rPr>
              <w:t>6</w:t>
            </w:r>
            <w:r w:rsidR="452FDB53">
              <w:fldChar w:fldCharType="end"/>
            </w:r>
          </w:hyperlink>
          <w:r w:rsidR="452FDB53">
            <w:fldChar w:fldCharType="end"/>
          </w:r>
        </w:p>
      </w:sdtContent>
    </w:sdt>
    <w:p w14:paraId="68EDC8E6" w14:textId="6B38CAF3" w:rsidR="452FDB53" w:rsidRDefault="452FDB53" w:rsidP="452FDB53">
      <w:pPr>
        <w:spacing w:line="276" w:lineRule="auto"/>
        <w:rPr>
          <w:rFonts w:ascii="Calibri" w:eastAsia="Aptos" w:hAnsi="Calibri" w:cs="Calibri"/>
        </w:rPr>
      </w:pPr>
    </w:p>
    <w:p w14:paraId="5C4813D7" w14:textId="77777777" w:rsidR="00C91EC0" w:rsidRPr="00CB7121" w:rsidRDefault="5E7BC95E" w:rsidP="47E733C3">
      <w:pPr>
        <w:spacing w:line="276" w:lineRule="auto"/>
        <w:rPr>
          <w:rFonts w:ascii="Calibri" w:hAnsi="Calibri" w:cs="Calibri"/>
        </w:rPr>
      </w:pPr>
      <w:r w:rsidRPr="452FDB53">
        <w:rPr>
          <w:rFonts w:ascii="Calibri" w:eastAsia="Aptos" w:hAnsi="Calibri" w:cs="Calibri"/>
        </w:rPr>
        <w:t xml:space="preserve"> </w:t>
      </w:r>
    </w:p>
    <w:p w14:paraId="75E19CB5" w14:textId="5A95F46C" w:rsidR="452FDB53" w:rsidRDefault="452FDB53">
      <w:r>
        <w:br w:type="page"/>
      </w:r>
    </w:p>
    <w:p w14:paraId="632E1F48" w14:textId="43C41318" w:rsidR="00960D51" w:rsidRPr="00CB7121" w:rsidRDefault="5E7BC95E" w:rsidP="452FDB53">
      <w:pPr>
        <w:pStyle w:val="Heading1"/>
        <w:rPr>
          <w:rFonts w:ascii="Calibri" w:hAnsi="Calibri" w:cs="Calibri"/>
        </w:rPr>
      </w:pPr>
      <w:bookmarkStart w:id="0" w:name="_Toc409192334"/>
      <w:r>
        <w:t>School of Business</w:t>
      </w:r>
      <w:bookmarkEnd w:id="0"/>
    </w:p>
    <w:p w14:paraId="27737873" w14:textId="6D695A8A" w:rsidR="00960D51" w:rsidRPr="00CB7121" w:rsidRDefault="5E7BC95E" w:rsidP="452FDB53">
      <w:pPr>
        <w:spacing w:line="276" w:lineRule="auto"/>
        <w:rPr>
          <w:rFonts w:ascii="Calibri" w:hAnsi="Calibri" w:cs="Calibri"/>
        </w:rPr>
      </w:pPr>
      <w:r w:rsidRPr="452FDB53">
        <w:rPr>
          <w:rFonts w:ascii="Calibri" w:eastAsia="Aptos" w:hAnsi="Calibri" w:cs="Calibri"/>
          <w:b/>
          <w:bCs/>
        </w:rPr>
        <w:t>The Case of Clickbait Cuisine</w:t>
      </w:r>
      <w:r>
        <w:tab/>
      </w:r>
    </w:p>
    <w:p w14:paraId="59C6B5E9" w14:textId="3326A00B" w:rsidR="00960D51" w:rsidRPr="00CB7121" w:rsidRDefault="5E7BC95E" w:rsidP="47E733C3">
      <w:pPr>
        <w:spacing w:line="276" w:lineRule="auto"/>
        <w:rPr>
          <w:rFonts w:ascii="Calibri" w:hAnsi="Calibri" w:cs="Calibri"/>
        </w:rPr>
      </w:pPr>
      <w:proofErr w:type="spellStart"/>
      <w:r w:rsidRPr="452FDB53">
        <w:rPr>
          <w:rFonts w:ascii="Calibri" w:eastAsia="Aptos" w:hAnsi="Calibri" w:cs="Calibri"/>
        </w:rPr>
        <w:t>YumYum</w:t>
      </w:r>
      <w:proofErr w:type="spellEnd"/>
      <w:r w:rsidRPr="452FDB53">
        <w:rPr>
          <w:rFonts w:ascii="Calibri" w:eastAsia="Aptos" w:hAnsi="Calibri" w:cs="Calibri"/>
        </w:rPr>
        <w:t xml:space="preserve"> is a company with a popular online food delivery app. The app's user base expanded rapidly because of its user-friendly interface and the variety of restaurant options. However, while the company focused on gaining more users, it failed to hire enough delivery drivers and customer service staff. This resulted in longer delivery times and more mistakes by overworked drivers, leading to incorrect orders and missing items. </w:t>
      </w:r>
    </w:p>
    <w:p w14:paraId="0BAFF669" w14:textId="38437862" w:rsidR="00960D51" w:rsidRPr="00CB7121" w:rsidRDefault="5E7BC95E" w:rsidP="47E733C3">
      <w:pPr>
        <w:spacing w:line="276" w:lineRule="auto"/>
        <w:rPr>
          <w:rFonts w:ascii="Calibri" w:hAnsi="Calibri" w:cs="Calibri"/>
        </w:rPr>
      </w:pPr>
      <w:r w:rsidRPr="452FDB53">
        <w:rPr>
          <w:rFonts w:ascii="Calibri" w:eastAsia="Aptos" w:hAnsi="Calibri" w:cs="Calibri"/>
        </w:rPr>
        <w:t xml:space="preserve">As a result, frustrated customers turned to other food delivery services. Customers also left negative reviews about long wait times and errors. This damaged </w:t>
      </w:r>
      <w:proofErr w:type="spellStart"/>
      <w:r w:rsidRPr="452FDB53">
        <w:rPr>
          <w:rFonts w:ascii="Calibri" w:eastAsia="Aptos" w:hAnsi="Calibri" w:cs="Calibri"/>
        </w:rPr>
        <w:t>YumYum’s</w:t>
      </w:r>
      <w:proofErr w:type="spellEnd"/>
      <w:r w:rsidRPr="452FDB53">
        <w:rPr>
          <w:rFonts w:ascii="Calibri" w:eastAsia="Aptos" w:hAnsi="Calibri" w:cs="Calibri"/>
        </w:rPr>
        <w:t xml:space="preserve"> reputation, and as a result, they started losing users. With fewer orders and dissatisfied customers, </w:t>
      </w:r>
      <w:proofErr w:type="spellStart"/>
      <w:r w:rsidRPr="452FDB53">
        <w:rPr>
          <w:rFonts w:ascii="Calibri" w:eastAsia="Aptos" w:hAnsi="Calibri" w:cs="Calibri"/>
        </w:rPr>
        <w:t>YumYum’s</w:t>
      </w:r>
      <w:proofErr w:type="spellEnd"/>
      <w:r w:rsidRPr="452FDB53">
        <w:rPr>
          <w:rFonts w:ascii="Calibri" w:eastAsia="Aptos" w:hAnsi="Calibri" w:cs="Calibri"/>
        </w:rPr>
        <w:t xml:space="preserve"> revenue stream slowed, making it difficult for the company to afford needed improvements. Lenders became concerned about </w:t>
      </w:r>
      <w:proofErr w:type="spellStart"/>
      <w:r w:rsidRPr="452FDB53">
        <w:rPr>
          <w:rFonts w:ascii="Calibri" w:eastAsia="Aptos" w:hAnsi="Calibri" w:cs="Calibri"/>
        </w:rPr>
        <w:t>YumYum's</w:t>
      </w:r>
      <w:proofErr w:type="spellEnd"/>
      <w:r w:rsidRPr="452FDB53">
        <w:rPr>
          <w:rFonts w:ascii="Calibri" w:eastAsia="Aptos" w:hAnsi="Calibri" w:cs="Calibri"/>
        </w:rPr>
        <w:t xml:space="preserve"> declining performance, which led to reduced financial support, further limiting the company’s potential. </w:t>
      </w:r>
    </w:p>
    <w:p w14:paraId="7C7B0A8B" w14:textId="510E3652" w:rsidR="452FDB53" w:rsidRDefault="452FDB53">
      <w:r>
        <w:br w:type="page"/>
      </w:r>
    </w:p>
    <w:p w14:paraId="394C8E5F" w14:textId="1BF421F9" w:rsidR="00960D51" w:rsidRPr="00CB7121" w:rsidRDefault="5E7BC95E" w:rsidP="452FDB53">
      <w:pPr>
        <w:pStyle w:val="Heading1"/>
        <w:rPr>
          <w:rFonts w:ascii="Calibri" w:hAnsi="Calibri" w:cs="Calibri"/>
        </w:rPr>
      </w:pPr>
      <w:bookmarkStart w:id="1" w:name="_Toc1753240284"/>
      <w:r>
        <w:t>School of Education</w:t>
      </w:r>
      <w:bookmarkEnd w:id="1"/>
    </w:p>
    <w:p w14:paraId="7FF18E7A" w14:textId="5B73C998" w:rsidR="00960D51" w:rsidRPr="00CB7121" w:rsidRDefault="5E7BC95E" w:rsidP="452FDB53">
      <w:pPr>
        <w:spacing w:line="276" w:lineRule="auto"/>
        <w:rPr>
          <w:rFonts w:ascii="Calibri" w:eastAsia="Aptos" w:hAnsi="Calibri" w:cs="Calibri"/>
        </w:rPr>
      </w:pPr>
      <w:r w:rsidRPr="452FDB53">
        <w:rPr>
          <w:rFonts w:ascii="Calibri" w:eastAsia="Aptos" w:hAnsi="Calibri" w:cs="Calibri"/>
          <w:b/>
          <w:bCs/>
        </w:rPr>
        <w:t>The Dwindling Craft Cart</w:t>
      </w:r>
    </w:p>
    <w:p w14:paraId="744547E8" w14:textId="002B2A2A" w:rsidR="00960D51" w:rsidRPr="00CB7121" w:rsidRDefault="5E7BC95E" w:rsidP="47E733C3">
      <w:pPr>
        <w:spacing w:line="276" w:lineRule="auto"/>
        <w:rPr>
          <w:rFonts w:ascii="Calibri" w:hAnsi="Calibri" w:cs="Calibri"/>
        </w:rPr>
      </w:pPr>
      <w:r w:rsidRPr="452FDB53">
        <w:rPr>
          <w:rFonts w:ascii="Calibri" w:eastAsia="Aptos" w:hAnsi="Calibri" w:cs="Calibri"/>
        </w:rPr>
        <w:t xml:space="preserve">Ms. Jackson is a third-grade art teacher who worked hard to create an environment where the children in her class could freely explore their creativity. At the beginning of the school year, she purchased various art materials to fill a craft cart for her students despite having a limited budget. Initially, the students used the materials responsibly. However, as some students began making increasingly more elaborate projects to impress their teacher and earn higher grades, the art materials in the once well-stocked craft cart were used up quickly. </w:t>
      </w:r>
    </w:p>
    <w:p w14:paraId="65F67C21" w14:textId="03704BB8" w:rsidR="00960D51" w:rsidRPr="00CB7121" w:rsidRDefault="5E7BC95E" w:rsidP="452FDB53">
      <w:pPr>
        <w:spacing w:line="276" w:lineRule="auto"/>
        <w:rPr>
          <w:rFonts w:ascii="Calibri" w:hAnsi="Calibri" w:cs="Calibri"/>
        </w:rPr>
      </w:pPr>
      <w:r w:rsidRPr="452FDB53">
        <w:rPr>
          <w:rFonts w:ascii="Calibri" w:eastAsia="Aptos" w:hAnsi="Calibri" w:cs="Calibri"/>
        </w:rPr>
        <w:t xml:space="preserve">With the depletion of supplies like construction paper, glue sticks, markers, and other creative materials, the students in Ms. Jackson’s class became frustrated. The once joyful art projects became an exercise in managing limited resources. The scarcity of popular materials like glitter and colorful markers resulted in student disagreements. Restocking the materials became a frequent task, taking time away from instruction. Ultimately, individual students’ desires for a broader selection of materials for their own use limited the whole class's ability to express themselves creatively. </w:t>
      </w:r>
    </w:p>
    <w:p w14:paraId="1B03E182" w14:textId="01BAFA4D" w:rsidR="00960D51" w:rsidRPr="00CB7121" w:rsidRDefault="5E7BC95E" w:rsidP="452FDB53">
      <w:r>
        <w:br w:type="page"/>
      </w:r>
    </w:p>
    <w:p w14:paraId="7E7B862B" w14:textId="3D4CC6F8" w:rsidR="00960D51" w:rsidRPr="00CB7121" w:rsidRDefault="5E7BC95E" w:rsidP="452FDB53">
      <w:pPr>
        <w:pStyle w:val="Heading1"/>
        <w:rPr>
          <w:rFonts w:ascii="Calibri" w:hAnsi="Calibri" w:cs="Calibri"/>
        </w:rPr>
      </w:pPr>
      <w:bookmarkStart w:id="2" w:name="_Toc1669240132"/>
      <w:r>
        <w:t>School of Technology</w:t>
      </w:r>
      <w:bookmarkEnd w:id="2"/>
    </w:p>
    <w:p w14:paraId="449F6B24" w14:textId="7C0D4B90" w:rsidR="00960D51" w:rsidRPr="00CB7121" w:rsidRDefault="486725D7" w:rsidP="452FDB53">
      <w:pPr>
        <w:rPr>
          <w:b/>
          <w:bCs/>
        </w:rPr>
      </w:pPr>
      <w:r w:rsidRPr="452FDB53">
        <w:rPr>
          <w:b/>
          <w:bCs/>
        </w:rPr>
        <w:t>Stumped About t</w:t>
      </w:r>
      <w:r w:rsidR="7D2DBC33" w:rsidRPr="452FDB53">
        <w:rPr>
          <w:b/>
          <w:bCs/>
        </w:rPr>
        <w:t>he Software Upgrade</w:t>
      </w:r>
    </w:p>
    <w:p w14:paraId="758C5B91" w14:textId="0C6259E9" w:rsidR="00960D51" w:rsidRPr="00CB7121" w:rsidRDefault="23EB95DB" w:rsidP="452FDB53">
      <w:pPr>
        <w:spacing w:before="240" w:after="240"/>
      </w:pPr>
      <w:r w:rsidRPr="452FDB53">
        <w:rPr>
          <w:rFonts w:ascii="Calibri" w:eastAsia="Calibri" w:hAnsi="Calibri" w:cs="Calibri"/>
        </w:rPr>
        <w:t xml:space="preserve">When Jamal began his career as a data analyst at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Advisors, a small but rapidly expanding company, he found the sophisticated analytic software daunting. Over time, however, he mastered the program, seamlessly performing all his essential tasks. Now, his manager, Maria, proposes a shift to a new software program, a daunting prospect for Jamal. He worries that transitioning to unfamiliar software would hinder his performance and that of his teammates, ultimately affecting their clients. "Why change something that has been working so well?" he wonders.</w:t>
      </w:r>
    </w:p>
    <w:p w14:paraId="2F129B10" w14:textId="142DC419" w:rsidR="00960D51" w:rsidRPr="00CB7121" w:rsidRDefault="23EB95DB" w:rsidP="452FDB53">
      <w:pPr>
        <w:spacing w:before="240" w:after="240"/>
      </w:pPr>
      <w:r w:rsidRPr="452FDB53">
        <w:rPr>
          <w:rFonts w:ascii="Calibri" w:eastAsia="Calibri" w:hAnsi="Calibri" w:cs="Calibri"/>
        </w:rPr>
        <w:t>Maria understands Jamal's concerns. She knows that sticking with the current software would be easier for the team and maintain their efficiency and work quality. The learning curve for the new software could span months, impacting their productivity. Nonetheless, Maria faces pressure from the CEO to ensure her department stays updated with the most advanced analytic tools. The new software promises not only to match their current capabilities but also to offer cutting-edge features their clients will appreciate. Yet, she grapples with balancing this upgrade against maintaining the team's current productivity.</w:t>
      </w:r>
    </w:p>
    <w:p w14:paraId="02D20ED0" w14:textId="7F2D6850" w:rsidR="00960D51" w:rsidRPr="00CB7121" w:rsidRDefault="23EB95DB" w:rsidP="452FDB53">
      <w:pPr>
        <w:spacing w:before="240" w:after="240"/>
        <w:rPr>
          <w:rFonts w:ascii="Calibri" w:eastAsia="Calibri" w:hAnsi="Calibri" w:cs="Calibri"/>
        </w:rPr>
      </w:pPr>
      <w:r w:rsidRPr="452FDB53">
        <w:rPr>
          <w:rFonts w:ascii="Calibri" w:eastAsia="Calibri" w:hAnsi="Calibri" w:cs="Calibri"/>
        </w:rPr>
        <w:t xml:space="preserve">Pat, the CEO of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Advisors, has a broader perspective. He acknowledges the need to keep the company competitive and anticipates clients' future demands. Using outdated software risks providing subpar information and projections, leaving their clients vulnerable to better-advised competitors. While current services meet client expectations, Pat emphasizes the necessity to stay ahead of their demands, leveraging the new software's more accurate and precise data projections. To differentiate </w:t>
      </w:r>
      <w:proofErr w:type="spellStart"/>
      <w:r w:rsidRPr="452FDB53">
        <w:rPr>
          <w:rFonts w:ascii="Calibri" w:eastAsia="Calibri" w:hAnsi="Calibri" w:cs="Calibri"/>
        </w:rPr>
        <w:t>Jaechap</w:t>
      </w:r>
      <w:proofErr w:type="spellEnd"/>
      <w:r w:rsidRPr="452FDB53">
        <w:rPr>
          <w:rFonts w:ascii="Calibri" w:eastAsia="Calibri" w:hAnsi="Calibri" w:cs="Calibri"/>
        </w:rPr>
        <w:t xml:space="preserve"> from larger firms, Pat stresses the importance of adopting enhanced features as soon as they're available. He remains puzzled, however, by the data analytics team's resistance to adopting the improved software, recognizing the challenge of transitioning from something familiar to something new and better.</w:t>
      </w:r>
    </w:p>
    <w:p w14:paraId="3B52F687" w14:textId="22B2D4A9" w:rsidR="00960D51" w:rsidRPr="00CB7121" w:rsidRDefault="5E7BC95E" w:rsidP="452FDB53">
      <w:r>
        <w:br w:type="page"/>
      </w:r>
    </w:p>
    <w:p w14:paraId="6D33BEFA" w14:textId="506C9BD5" w:rsidR="00960D51" w:rsidRPr="00CB7121" w:rsidRDefault="5E7BC95E" w:rsidP="00C91EC0">
      <w:pPr>
        <w:pStyle w:val="Heading1"/>
      </w:pPr>
      <w:bookmarkStart w:id="3" w:name="_Toc683649060"/>
      <w:r>
        <w:t>Leavitt School of Health</w:t>
      </w:r>
      <w:bookmarkEnd w:id="3"/>
    </w:p>
    <w:p w14:paraId="0B7D0139" w14:textId="3031792A" w:rsidR="461659D5" w:rsidRDefault="461659D5" w:rsidP="452FDB53">
      <w:pPr>
        <w:rPr>
          <w:b/>
          <w:bCs/>
        </w:rPr>
      </w:pPr>
      <w:r w:rsidRPr="452FDB53">
        <w:rPr>
          <w:b/>
          <w:bCs/>
        </w:rPr>
        <w:t>The Case of Troubling Triages</w:t>
      </w:r>
    </w:p>
    <w:p w14:paraId="501C0A16" w14:textId="440B3943" w:rsidR="00960D51" w:rsidRPr="00CB7121" w:rsidRDefault="5E7BC95E" w:rsidP="452FDB53">
      <w:pPr>
        <w:spacing w:after="0" w:line="276" w:lineRule="auto"/>
        <w:rPr>
          <w:rFonts w:ascii="Calibri" w:hAnsi="Calibri" w:cs="Calibri"/>
        </w:rPr>
      </w:pPr>
      <w:r w:rsidRPr="452FDB53">
        <w:rPr>
          <w:rFonts w:ascii="Calibri" w:eastAsia="Aptos" w:hAnsi="Calibri" w:cs="Calibri"/>
        </w:rPr>
        <w:t xml:space="preserve">A group of hospital administrators representing three community hospitals meets to discuss the ongoing problem of patient backlogs in their hospitals’ emergency rooms (ERs). All three hospital ERs have experienced patient backlogs. However, due to University Hospital Central’s location in the middle of a densely populated area and proximity to a major highway exit, this facility has always had the busiest ER in comparison to University Hospital East and University Hospital West. </w:t>
      </w:r>
    </w:p>
    <w:p w14:paraId="7739074C" w14:textId="35AA5EA8" w:rsidR="00960D51" w:rsidRPr="00CB7121" w:rsidRDefault="5E7BC95E" w:rsidP="452FDB53">
      <w:pPr>
        <w:spacing w:after="0" w:line="276" w:lineRule="auto"/>
        <w:rPr>
          <w:rFonts w:ascii="Calibri" w:hAnsi="Calibri" w:cs="Calibri"/>
        </w:rPr>
      </w:pPr>
      <w:r>
        <w:br/>
      </w:r>
      <w:r w:rsidRPr="452FDB53">
        <w:rPr>
          <w:rFonts w:ascii="Calibri" w:eastAsia="Aptos" w:hAnsi="Calibri" w:cs="Calibri"/>
        </w:rPr>
        <w:t xml:space="preserve">One proposal is to increase the ER capacity of all three hospitals to ensure that current and expected future demand is met. However, this would take a long time and cost more than the current budget allows. So the hospital administrators decide on a faster and cheaper way to address the problem. They focus on increasing the ER capacity of University Hospital Central by increasing the number of ER beds and medical staff. When the two network hospitals reach capacity, they will divert their ER-bound ambulance patients to University Hospital Central. </w:t>
      </w:r>
    </w:p>
    <w:p w14:paraId="55A7EB7F" w14:textId="4A79BA7A" w:rsidR="002C77A9" w:rsidRPr="00CB7121" w:rsidRDefault="5E7BC95E" w:rsidP="452FDB53">
      <w:pPr>
        <w:spacing w:line="276" w:lineRule="auto"/>
      </w:pPr>
      <w:r w:rsidRPr="452FDB53">
        <w:rPr>
          <w:rFonts w:ascii="Calibri" w:eastAsia="Aptos" w:hAnsi="Calibri" w:cs="Calibri"/>
        </w:rPr>
        <w:t xml:space="preserve">In the short term, the plan works. Whenever University Hospital East or University Hospital West nears ER capacity, they send any incoming ambulances to University Hospital Central, which has now been allocated more resources. Once the pressure on all the hospital ERs eases, hospital administrators believe the problem is solved and turn their attention to other issues. As the two network hospitals increasingly rely on this process to treat more ER patients, University Hospital Central begins experiencing patient backlogs again. When University Hospital Central is unable to admit diverted patients from the two network hospitals, all three become backlogged with ER patients who experience longer waits for emergency treatment and, consequently, suffer negative health impacts and higher mortality rates. </w:t>
      </w:r>
      <w:r w:rsidR="002C77A9">
        <w:br/>
      </w:r>
      <w:r w:rsidRPr="452FDB53">
        <w:rPr>
          <w:rFonts w:ascii="Calibri" w:eastAsia="Aptos" w:hAnsi="Calibri" w:cs="Calibri"/>
        </w:rPr>
        <w:t xml:space="preserve">  </w:t>
      </w:r>
    </w:p>
    <w:p w14:paraId="43F5B32D" w14:textId="5CE4198B" w:rsidR="002C77A9" w:rsidRPr="00CB7121" w:rsidRDefault="002C77A9" w:rsidP="452FDB53">
      <w:r>
        <w:br w:type="page"/>
      </w:r>
    </w:p>
    <w:p w14:paraId="296BAC1C" w14:textId="134CB36A" w:rsidR="002C77A9" w:rsidRPr="00CB7121" w:rsidRDefault="002C77A9" w:rsidP="452FDB53">
      <w:pPr>
        <w:pStyle w:val="Heading1"/>
      </w:pPr>
      <w:bookmarkStart w:id="4" w:name="_Toc492534788"/>
      <w:r>
        <w:t xml:space="preserve">General </w:t>
      </w:r>
      <w:r w:rsidR="5AFCB945">
        <w:t>Case Stud</w:t>
      </w:r>
      <w:r w:rsidR="18307DAA">
        <w:t>y 1</w:t>
      </w:r>
      <w:bookmarkEnd w:id="4"/>
    </w:p>
    <w:p w14:paraId="4F154112" w14:textId="1B203232" w:rsidR="18307DAA" w:rsidRDefault="18307DAA" w:rsidP="452FDB53">
      <w:pPr>
        <w:rPr>
          <w:rFonts w:ascii="Calibri" w:hAnsi="Calibri" w:cs="Calibri"/>
        </w:rPr>
      </w:pPr>
      <w:r w:rsidRPr="452FDB53">
        <w:rPr>
          <w:rFonts w:ascii="Calibri" w:hAnsi="Calibri" w:cs="Calibri"/>
          <w:b/>
          <w:bCs/>
        </w:rPr>
        <w:t>The Donor Dilemma</w:t>
      </w:r>
    </w:p>
    <w:p w14:paraId="43784051" w14:textId="247783D3" w:rsidR="2CB3A3A4" w:rsidRDefault="2CB3A3A4" w:rsidP="452FDB53">
      <w:pPr>
        <w:spacing w:before="240" w:after="240"/>
      </w:pPr>
      <w:r w:rsidRPr="452FDB53">
        <w:rPr>
          <w:rFonts w:ascii="Calibri" w:eastAsia="Calibri" w:hAnsi="Calibri" w:cs="Calibri"/>
        </w:rPr>
        <w:t>Andie, Chief Executive of the Gadsden Soup Kitchen, faces the challenge of finding qualified candidates to fill leadership roles, particularly with the retirement of the long-time Director of Philanthropy. She selects two internal candidates, Charlotte and Diego, both experienced and enthusiastic about nonprofit work. To ensure the best choice, Andie assigns them to share responsibilities for a year, with the promotion dependent on their fundraising performance.</w:t>
      </w:r>
    </w:p>
    <w:p w14:paraId="17327E51" w14:textId="7DAB98EC" w:rsidR="2CB3A3A4" w:rsidRDefault="2CB3A3A4" w:rsidP="452FDB53">
      <w:pPr>
        <w:spacing w:before="240" w:after="240"/>
      </w:pPr>
      <w:r w:rsidRPr="452FDB53">
        <w:rPr>
          <w:rFonts w:ascii="Calibri" w:eastAsia="Calibri" w:hAnsi="Calibri" w:cs="Calibri"/>
        </w:rPr>
        <w:t xml:space="preserve">Charlotte and Diego start strong, but Diego gains an edge after securing a major donation from a new donor he meets at a social event. This significant contribution allows the soup kitchen to purchase a new property, and Andie publicizes Diego's </w:t>
      </w:r>
      <w:r w:rsidR="00674347">
        <w:rPr>
          <w:rFonts w:ascii="Calibri" w:eastAsia="Calibri" w:hAnsi="Calibri" w:cs="Calibri"/>
        </w:rPr>
        <w:t>achievement</w:t>
      </w:r>
      <w:r w:rsidRPr="452FDB53">
        <w:rPr>
          <w:rFonts w:ascii="Calibri" w:eastAsia="Calibri" w:hAnsi="Calibri" w:cs="Calibri"/>
        </w:rPr>
        <w:t>, attracting more donors to him. As Diego's fundraising numbers soar, Andie increasingly favors him, leading to a decline in Charlotte's performance and donor support.</w:t>
      </w:r>
    </w:p>
    <w:p w14:paraId="49C6EF4C" w14:textId="1167CA3F" w:rsidR="2CB3A3A4" w:rsidRDefault="2CB3A3A4" w:rsidP="452FDB53">
      <w:pPr>
        <w:spacing w:before="240" w:after="240"/>
      </w:pPr>
      <w:r w:rsidRPr="452FDB53">
        <w:rPr>
          <w:rFonts w:ascii="Calibri" w:eastAsia="Calibri" w:hAnsi="Calibri" w:cs="Calibri"/>
        </w:rPr>
        <w:t xml:space="preserve">At the year's end, Andie promotes Diego to Director of Philanthropy. Charlotte, disheartened by her diminishing </w:t>
      </w:r>
      <w:r w:rsidR="00674347">
        <w:rPr>
          <w:rFonts w:ascii="Calibri" w:eastAsia="Calibri" w:hAnsi="Calibri" w:cs="Calibri"/>
        </w:rPr>
        <w:t>results</w:t>
      </w:r>
      <w:r w:rsidRPr="452FDB53">
        <w:rPr>
          <w:rFonts w:ascii="Calibri" w:eastAsia="Calibri" w:hAnsi="Calibri" w:cs="Calibri"/>
        </w:rPr>
        <w:t xml:space="preserve"> and lack of recognition, eventually quits. Despite filling the Director position, Andie continues to struggle with retaining talent and finding qualified candidates for other leadership roles within the organization.</w:t>
      </w:r>
    </w:p>
    <w:p w14:paraId="58D356F6" w14:textId="6A78F7D8" w:rsidR="452FDB53" w:rsidRDefault="452FDB53">
      <w:r>
        <w:br w:type="page"/>
      </w:r>
    </w:p>
    <w:p w14:paraId="0969BB53" w14:textId="072A74F3" w:rsidR="56D60A59" w:rsidRDefault="56D60A59" w:rsidP="452FDB53">
      <w:pPr>
        <w:pStyle w:val="Heading1"/>
        <w:rPr>
          <w:rFonts w:ascii="Calibri" w:hAnsi="Calibri" w:cs="Calibri"/>
        </w:rPr>
      </w:pPr>
      <w:bookmarkStart w:id="5" w:name="_Toc455774276"/>
      <w:r>
        <w:t>General Case Study 2</w:t>
      </w:r>
      <w:bookmarkEnd w:id="5"/>
    </w:p>
    <w:p w14:paraId="6CB4C3A6" w14:textId="0D3618B4" w:rsidR="55C58F0B" w:rsidRDefault="55C58F0B" w:rsidP="452FDB53">
      <w:r w:rsidRPr="452FDB53">
        <w:rPr>
          <w:b/>
          <w:bCs/>
        </w:rPr>
        <w:t>Investing for Electric? The Car Company Case</w:t>
      </w:r>
    </w:p>
    <w:p w14:paraId="0CD49753" w14:textId="79A5AA83" w:rsidR="06E68602" w:rsidRDefault="06E68602" w:rsidP="452FDB53">
      <w:pPr>
        <w:spacing w:before="240" w:after="240"/>
      </w:pPr>
      <w:r w:rsidRPr="452FDB53">
        <w:rPr>
          <w:rFonts w:ascii="Calibri" w:eastAsia="Calibri" w:hAnsi="Calibri" w:cs="Calibri"/>
        </w:rPr>
        <w:t xml:space="preserve">To become more socially and environmentally responsible and stay ahead of future consumer demands, a car company aims to transition from gasoline-powered cars to electric vehicles, setting a </w:t>
      </w:r>
      <w:r w:rsidR="005E0F28">
        <w:rPr>
          <w:rFonts w:ascii="Calibri" w:eastAsia="Calibri" w:hAnsi="Calibri" w:cs="Calibri"/>
        </w:rPr>
        <w:t>target</w:t>
      </w:r>
      <w:r w:rsidRPr="452FDB53">
        <w:rPr>
          <w:rFonts w:ascii="Calibri" w:eastAsia="Calibri" w:hAnsi="Calibri" w:cs="Calibri"/>
        </w:rPr>
        <w:t xml:space="preserve"> to sell only electric cars within ten years. After consulting various stakeholders and setting annual </w:t>
      </w:r>
      <w:r w:rsidR="000A04ED">
        <w:rPr>
          <w:rFonts w:ascii="Calibri" w:eastAsia="Calibri" w:hAnsi="Calibri" w:cs="Calibri"/>
        </w:rPr>
        <w:t>benchmarks</w:t>
      </w:r>
      <w:r w:rsidRPr="452FDB53">
        <w:rPr>
          <w:rFonts w:ascii="Calibri" w:eastAsia="Calibri" w:hAnsi="Calibri" w:cs="Calibri"/>
        </w:rPr>
        <w:t xml:space="preserve"> within a one-billion-dollar budget, the company begins designing new electric vehicles but soon finds the process more expensive than anticipated, requiring substantial investments in supply chains, factories, worker training, and software development.</w:t>
      </w:r>
    </w:p>
    <w:p w14:paraId="085ED3C6" w14:textId="7F41B9A6" w:rsidR="06E68602" w:rsidRDefault="06E68602" w:rsidP="452FDB53">
      <w:pPr>
        <w:spacing w:before="240" w:after="240"/>
      </w:pPr>
      <w:r w:rsidRPr="452FDB53">
        <w:rPr>
          <w:rFonts w:ascii="Calibri" w:eastAsia="Calibri" w:hAnsi="Calibri" w:cs="Calibri"/>
        </w:rPr>
        <w:t>After the first year, executives find that despite significant investments, only 90% of their cars will likely be electric by the ten-year mark. Despite recent strong sales of gas-powered cars, market analysts insist electric vehicles are the future. The executives decide to continue their transition within the original budget. However, as the years pass, they fall further behind their target, with projections showing only 50% of their cars will be electric by the target date.</w:t>
      </w:r>
    </w:p>
    <w:p w14:paraId="69D06EBF" w14:textId="7C056402" w:rsidR="06E68602" w:rsidRDefault="06E68602" w:rsidP="452FDB53">
      <w:pPr>
        <w:spacing w:before="240" w:after="240"/>
      </w:pPr>
      <w:r w:rsidRPr="452FDB53">
        <w:rPr>
          <w:rFonts w:ascii="Calibri" w:eastAsia="Calibri" w:hAnsi="Calibri" w:cs="Calibri"/>
        </w:rPr>
        <w:t xml:space="preserve">By the fifth year, the company faces a decision: increase the budget and investments to meet the original </w:t>
      </w:r>
      <w:r w:rsidR="00796AD2">
        <w:rPr>
          <w:rFonts w:ascii="Calibri" w:eastAsia="Calibri" w:hAnsi="Calibri" w:cs="Calibri"/>
        </w:rPr>
        <w:t>aim</w:t>
      </w:r>
      <w:r w:rsidRPr="452FDB53">
        <w:rPr>
          <w:rFonts w:ascii="Calibri" w:eastAsia="Calibri" w:hAnsi="Calibri" w:cs="Calibri"/>
        </w:rPr>
        <w:t xml:space="preserve"> or adjust their target. They choose the latter, setting a new </w:t>
      </w:r>
      <w:r w:rsidR="001E5002">
        <w:rPr>
          <w:rFonts w:ascii="Calibri" w:eastAsia="Calibri" w:hAnsi="Calibri" w:cs="Calibri"/>
        </w:rPr>
        <w:t>objective</w:t>
      </w:r>
      <w:r w:rsidRPr="452FDB53">
        <w:rPr>
          <w:rFonts w:ascii="Calibri" w:eastAsia="Calibri" w:hAnsi="Calibri" w:cs="Calibri"/>
        </w:rPr>
        <w:t xml:space="preserve"> of 50% electric vehicles within ten years, aligning with industry targets and noting their strong sales and profitability of gas-powered cars.</w:t>
      </w:r>
    </w:p>
    <w:p w14:paraId="67455B15" w14:textId="1525ED2A" w:rsidR="452FDB53" w:rsidRDefault="452FDB53" w:rsidP="452FDB53">
      <w:pPr>
        <w:spacing w:after="0"/>
        <w:rPr>
          <w:rFonts w:ascii="Calibri" w:hAnsi="Calibri" w:cs="Calibri"/>
        </w:rPr>
      </w:pPr>
    </w:p>
    <w:sectPr w:rsidR="452FD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7E7F9" w14:textId="77777777" w:rsidR="00092B8A" w:rsidRDefault="00092B8A" w:rsidP="00C91EC0">
      <w:pPr>
        <w:spacing w:after="0" w:line="240" w:lineRule="auto"/>
      </w:pPr>
      <w:r>
        <w:separator/>
      </w:r>
    </w:p>
  </w:endnote>
  <w:endnote w:type="continuationSeparator" w:id="0">
    <w:p w14:paraId="0532ACBC" w14:textId="77777777" w:rsidR="00092B8A" w:rsidRDefault="00092B8A" w:rsidP="00C91EC0">
      <w:pPr>
        <w:spacing w:after="0" w:line="240" w:lineRule="auto"/>
      </w:pPr>
      <w:r>
        <w:continuationSeparator/>
      </w:r>
    </w:p>
  </w:endnote>
  <w:endnote w:type="continuationNotice" w:id="1">
    <w:p w14:paraId="59155CDE" w14:textId="77777777" w:rsidR="00092B8A" w:rsidRDefault="00092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5B018" w14:textId="77777777" w:rsidR="00092B8A" w:rsidRDefault="00092B8A" w:rsidP="00C91EC0">
      <w:pPr>
        <w:spacing w:after="0" w:line="240" w:lineRule="auto"/>
      </w:pPr>
      <w:r>
        <w:separator/>
      </w:r>
    </w:p>
  </w:footnote>
  <w:footnote w:type="continuationSeparator" w:id="0">
    <w:p w14:paraId="7CB00409" w14:textId="77777777" w:rsidR="00092B8A" w:rsidRDefault="00092B8A" w:rsidP="00C91EC0">
      <w:pPr>
        <w:spacing w:after="0" w:line="240" w:lineRule="auto"/>
      </w:pPr>
      <w:r>
        <w:continuationSeparator/>
      </w:r>
    </w:p>
  </w:footnote>
  <w:footnote w:type="continuationNotice" w:id="1">
    <w:p w14:paraId="66FA1DF5" w14:textId="77777777" w:rsidR="00092B8A" w:rsidRDefault="00092B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232E"/>
    <w:multiLevelType w:val="hybridMultilevel"/>
    <w:tmpl w:val="ADDEC5FC"/>
    <w:lvl w:ilvl="0" w:tplc="2F9CDE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190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8B984"/>
    <w:rsid w:val="000267EF"/>
    <w:rsid w:val="00040D2A"/>
    <w:rsid w:val="0004672B"/>
    <w:rsid w:val="00067F78"/>
    <w:rsid w:val="000722FD"/>
    <w:rsid w:val="00092B8A"/>
    <w:rsid w:val="0009765F"/>
    <w:rsid w:val="000A04ED"/>
    <w:rsid w:val="000B16A8"/>
    <w:rsid w:val="000B59A8"/>
    <w:rsid w:val="000B72F1"/>
    <w:rsid w:val="000F7086"/>
    <w:rsid w:val="00114D86"/>
    <w:rsid w:val="00170246"/>
    <w:rsid w:val="00181557"/>
    <w:rsid w:val="001A4AAB"/>
    <w:rsid w:val="001D4691"/>
    <w:rsid w:val="001E3E09"/>
    <w:rsid w:val="001E5002"/>
    <w:rsid w:val="00210C9E"/>
    <w:rsid w:val="002315DB"/>
    <w:rsid w:val="00281F78"/>
    <w:rsid w:val="002C74E9"/>
    <w:rsid w:val="002C77A9"/>
    <w:rsid w:val="00321D14"/>
    <w:rsid w:val="0035547B"/>
    <w:rsid w:val="00382C89"/>
    <w:rsid w:val="00454CB3"/>
    <w:rsid w:val="004856F3"/>
    <w:rsid w:val="004C444B"/>
    <w:rsid w:val="005324BD"/>
    <w:rsid w:val="005A44A1"/>
    <w:rsid w:val="005E0F28"/>
    <w:rsid w:val="00614D28"/>
    <w:rsid w:val="00620B3C"/>
    <w:rsid w:val="00641826"/>
    <w:rsid w:val="006576D2"/>
    <w:rsid w:val="00674347"/>
    <w:rsid w:val="00781B71"/>
    <w:rsid w:val="0078672C"/>
    <w:rsid w:val="00796AD2"/>
    <w:rsid w:val="007C413F"/>
    <w:rsid w:val="00947301"/>
    <w:rsid w:val="00950C94"/>
    <w:rsid w:val="00960D51"/>
    <w:rsid w:val="00A64C1D"/>
    <w:rsid w:val="00B349D8"/>
    <w:rsid w:val="00B65758"/>
    <w:rsid w:val="00BA21B0"/>
    <w:rsid w:val="00C317A3"/>
    <w:rsid w:val="00C355B7"/>
    <w:rsid w:val="00C91EC0"/>
    <w:rsid w:val="00CB7121"/>
    <w:rsid w:val="00CD4746"/>
    <w:rsid w:val="00CD68C5"/>
    <w:rsid w:val="00D53496"/>
    <w:rsid w:val="00D77155"/>
    <w:rsid w:val="00DE2474"/>
    <w:rsid w:val="00E04220"/>
    <w:rsid w:val="00E2105D"/>
    <w:rsid w:val="00EB648B"/>
    <w:rsid w:val="00EE250A"/>
    <w:rsid w:val="00EE618C"/>
    <w:rsid w:val="00F11371"/>
    <w:rsid w:val="00F25B29"/>
    <w:rsid w:val="00F312AE"/>
    <w:rsid w:val="00F85BB6"/>
    <w:rsid w:val="00FC5C07"/>
    <w:rsid w:val="043B37C0"/>
    <w:rsid w:val="06B72DAF"/>
    <w:rsid w:val="06E68602"/>
    <w:rsid w:val="0AF45732"/>
    <w:rsid w:val="0C052FEB"/>
    <w:rsid w:val="1191339B"/>
    <w:rsid w:val="12492FC8"/>
    <w:rsid w:val="130E186A"/>
    <w:rsid w:val="162FC069"/>
    <w:rsid w:val="17A98895"/>
    <w:rsid w:val="18307DAA"/>
    <w:rsid w:val="1C250602"/>
    <w:rsid w:val="1CF77128"/>
    <w:rsid w:val="231A7672"/>
    <w:rsid w:val="23EB95DB"/>
    <w:rsid w:val="250CBEC5"/>
    <w:rsid w:val="2522A85E"/>
    <w:rsid w:val="25A618E0"/>
    <w:rsid w:val="2666A063"/>
    <w:rsid w:val="2CB3A3A4"/>
    <w:rsid w:val="30063341"/>
    <w:rsid w:val="3D040783"/>
    <w:rsid w:val="3D7D78B7"/>
    <w:rsid w:val="3DB11608"/>
    <w:rsid w:val="3EDAAF36"/>
    <w:rsid w:val="44075218"/>
    <w:rsid w:val="44DA5300"/>
    <w:rsid w:val="452FDB53"/>
    <w:rsid w:val="461659D5"/>
    <w:rsid w:val="46AFCDE7"/>
    <w:rsid w:val="47E733C3"/>
    <w:rsid w:val="486725D7"/>
    <w:rsid w:val="4AEF04A9"/>
    <w:rsid w:val="4DE5CF06"/>
    <w:rsid w:val="5001D562"/>
    <w:rsid w:val="5141438D"/>
    <w:rsid w:val="51CCC2C1"/>
    <w:rsid w:val="51EDAAE7"/>
    <w:rsid w:val="54EB25A1"/>
    <w:rsid w:val="55C58F0B"/>
    <w:rsid w:val="56D60A59"/>
    <w:rsid w:val="56E63B5B"/>
    <w:rsid w:val="57C80102"/>
    <w:rsid w:val="5A12D0FD"/>
    <w:rsid w:val="5AFCB945"/>
    <w:rsid w:val="5D784696"/>
    <w:rsid w:val="5E4097DB"/>
    <w:rsid w:val="5E63F344"/>
    <w:rsid w:val="5E7BC95E"/>
    <w:rsid w:val="69DDFFF4"/>
    <w:rsid w:val="6BE695E5"/>
    <w:rsid w:val="6D3BC04E"/>
    <w:rsid w:val="6DEA585D"/>
    <w:rsid w:val="6EC00605"/>
    <w:rsid w:val="6F23ABB6"/>
    <w:rsid w:val="70B6AEAD"/>
    <w:rsid w:val="76F8B984"/>
    <w:rsid w:val="7D1E23B4"/>
    <w:rsid w:val="7D2DBC33"/>
    <w:rsid w:val="7D849A27"/>
    <w:rsid w:val="7E3592B6"/>
    <w:rsid w:val="7E76C05D"/>
    <w:rsid w:val="7EC27D76"/>
    <w:rsid w:val="7FB2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B984"/>
  <w15:chartTrackingRefBased/>
  <w15:docId w15:val="{185D34D5-2ED4-429F-BD85-DFEE2ABC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Heading">
    <w:name w:val="TOC Heading"/>
    <w:basedOn w:val="Heading1"/>
    <w:next w:val="Normal"/>
    <w:uiPriority w:val="39"/>
    <w:unhideWhenUsed/>
    <w:qFormat/>
    <w:rsid w:val="00641826"/>
    <w:pPr>
      <w:spacing w:before="240" w:after="0" w:line="259" w:lineRule="auto"/>
      <w:outlineLvl w:val="9"/>
    </w:pPr>
    <w:rPr>
      <w:sz w:val="32"/>
      <w:szCs w:val="32"/>
      <w:lang w:eastAsia="en-US"/>
    </w:rPr>
  </w:style>
  <w:style w:type="paragraph" w:styleId="Header">
    <w:name w:val="header"/>
    <w:basedOn w:val="Normal"/>
    <w:link w:val="HeaderChar"/>
    <w:uiPriority w:val="99"/>
    <w:unhideWhenUsed/>
    <w:rsid w:val="00C91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EC0"/>
  </w:style>
  <w:style w:type="paragraph" w:styleId="Footer">
    <w:name w:val="footer"/>
    <w:basedOn w:val="Normal"/>
    <w:link w:val="FooterChar"/>
    <w:uiPriority w:val="99"/>
    <w:unhideWhenUsed/>
    <w:rsid w:val="00C91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EC0"/>
  </w:style>
  <w:style w:type="paragraph" w:styleId="TOC1">
    <w:name w:val="toc 1"/>
    <w:basedOn w:val="Normal"/>
    <w:next w:val="Normal"/>
    <w:autoRedefine/>
    <w:uiPriority w:val="39"/>
    <w:unhideWhenUsed/>
    <w:rsid w:val="00C91EC0"/>
    <w:pPr>
      <w:spacing w:after="100"/>
    </w:pPr>
  </w:style>
  <w:style w:type="character" w:styleId="Hyperlink">
    <w:name w:val="Hyperlink"/>
    <w:basedOn w:val="DefaultParagraphFont"/>
    <w:uiPriority w:val="99"/>
    <w:unhideWhenUsed/>
    <w:rsid w:val="00C91E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210818">
      <w:bodyDiv w:val="1"/>
      <w:marLeft w:val="0"/>
      <w:marRight w:val="0"/>
      <w:marTop w:val="0"/>
      <w:marBottom w:val="0"/>
      <w:divBdr>
        <w:top w:val="none" w:sz="0" w:space="0" w:color="auto"/>
        <w:left w:val="none" w:sz="0" w:space="0" w:color="auto"/>
        <w:bottom w:val="none" w:sz="0" w:space="0" w:color="auto"/>
        <w:right w:val="none" w:sz="0" w:space="0" w:color="auto"/>
      </w:divBdr>
    </w:div>
    <w:div w:id="183398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dbce95a-b870-4f3c-86f9-0deb968cc4b5" xsi:nil="true"/>
    <_ip_UnifiedCompliancePolicyProperties xmlns="http://schemas.microsoft.com/sharepoint/v3" xsi:nil="true"/>
    <Notes xmlns="455c6a40-5156-4ee1-b6e1-75a9942fd30d" xsi:nil="true"/>
    <lcf76f155ced4ddcb4097134ff3c332f xmlns="455c6a40-5156-4ee1-b6e1-75a9942fd3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C5002AFCB7E46BAF73E9A815C6C0B" ma:contentTypeVersion="26" ma:contentTypeDescription="Create a new document." ma:contentTypeScope="" ma:versionID="6cdb8c6031b1266b484e7bb362084876">
  <xsd:schema xmlns:xsd="http://www.w3.org/2001/XMLSchema" xmlns:xs="http://www.w3.org/2001/XMLSchema" xmlns:p="http://schemas.microsoft.com/office/2006/metadata/properties" xmlns:ns1="http://schemas.microsoft.com/sharepoint/v3" xmlns:ns2="455c6a40-5156-4ee1-b6e1-75a9942fd30d" xmlns:ns3="5dbce95a-b870-4f3c-86f9-0deb968cc4b5" targetNamespace="http://schemas.microsoft.com/office/2006/metadata/properties" ma:root="true" ma:fieldsID="80f3a0d89b3a2a44be516139822a4aa9" ns1:_="" ns2:_="" ns3:_="">
    <xsd:import namespace="http://schemas.microsoft.com/sharepoint/v3"/>
    <xsd:import namespace="455c6a40-5156-4ee1-b6e1-75a9942fd30d"/>
    <xsd:import namespace="5dbce95a-b870-4f3c-86f9-0deb968c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c6a40-5156-4ee1-b6e1-75a9942fd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 ma:format="Dropdown" ma:internalName="Note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ce95a-b870-4f3c-86f9-0deb968c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2b290c-d895-40c0-8c28-54a180c62a3d}" ma:internalName="TaxCatchAll" ma:showField="CatchAllData" ma:web="5dbce95a-b870-4f3c-86f9-0deb968c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94E71-C6A4-47C4-B1EC-DF7488622DE7}">
  <ds:schemaRefs>
    <ds:schemaRef ds:uri="http://schemas.microsoft.com/sharepoint/v3/contenttype/forms"/>
  </ds:schemaRefs>
</ds:datastoreItem>
</file>

<file path=customXml/itemProps2.xml><?xml version="1.0" encoding="utf-8"?>
<ds:datastoreItem xmlns:ds="http://schemas.openxmlformats.org/officeDocument/2006/customXml" ds:itemID="{474A1963-5FBA-4EFD-9A57-3672E7334DB3}">
  <ds:schemaRefs>
    <ds:schemaRef ds:uri="http://schemas.microsoft.com/office/2006/metadata/properties"/>
    <ds:schemaRef ds:uri="http://schemas.microsoft.com/office/infopath/2007/PartnerControls"/>
    <ds:schemaRef ds:uri="http://schemas.microsoft.com/sharepoint/v3"/>
    <ds:schemaRef ds:uri="5dbce95a-b870-4f3c-86f9-0deb968cc4b5"/>
    <ds:schemaRef ds:uri="455c6a40-5156-4ee1-b6e1-75a9942fd30d"/>
  </ds:schemaRefs>
</ds:datastoreItem>
</file>

<file path=customXml/itemProps3.xml><?xml version="1.0" encoding="utf-8"?>
<ds:datastoreItem xmlns:ds="http://schemas.openxmlformats.org/officeDocument/2006/customXml" ds:itemID="{3AA03193-FD2A-42A7-BB01-0256085A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5c6a40-5156-4ee1-b6e1-75a9942fd30d"/>
    <ds:schemaRef ds:uri="5dbce95a-b870-4f3c-86f9-0deb968c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1434</Words>
  <Characters>8175</Characters>
  <Application>Microsoft Office Word</Application>
  <DocSecurity>4</DocSecurity>
  <Lines>68</Lines>
  <Paragraphs>19</Paragraphs>
  <ScaleCrop>false</ScaleCrop>
  <Company/>
  <LinksUpToDate>false</LinksUpToDate>
  <CharactersWithSpaces>9590</CharactersWithSpaces>
  <SharedDoc>false</SharedDoc>
  <HLinks>
    <vt:vector size="36" baseType="variant">
      <vt:variant>
        <vt:i4>1441844</vt:i4>
      </vt:variant>
      <vt:variant>
        <vt:i4>32</vt:i4>
      </vt:variant>
      <vt:variant>
        <vt:i4>0</vt:i4>
      </vt:variant>
      <vt:variant>
        <vt:i4>5</vt:i4>
      </vt:variant>
      <vt:variant>
        <vt:lpwstr/>
      </vt:variant>
      <vt:variant>
        <vt:lpwstr>_Toc455774276</vt:lpwstr>
      </vt:variant>
      <vt:variant>
        <vt:i4>1507378</vt:i4>
      </vt:variant>
      <vt:variant>
        <vt:i4>26</vt:i4>
      </vt:variant>
      <vt:variant>
        <vt:i4>0</vt:i4>
      </vt:variant>
      <vt:variant>
        <vt:i4>5</vt:i4>
      </vt:variant>
      <vt:variant>
        <vt:lpwstr/>
      </vt:variant>
      <vt:variant>
        <vt:lpwstr>_Toc492534788</vt:lpwstr>
      </vt:variant>
      <vt:variant>
        <vt:i4>1441841</vt:i4>
      </vt:variant>
      <vt:variant>
        <vt:i4>20</vt:i4>
      </vt:variant>
      <vt:variant>
        <vt:i4>0</vt:i4>
      </vt:variant>
      <vt:variant>
        <vt:i4>5</vt:i4>
      </vt:variant>
      <vt:variant>
        <vt:lpwstr/>
      </vt:variant>
      <vt:variant>
        <vt:lpwstr>_Toc683649060</vt:lpwstr>
      </vt:variant>
      <vt:variant>
        <vt:i4>3080198</vt:i4>
      </vt:variant>
      <vt:variant>
        <vt:i4>14</vt:i4>
      </vt:variant>
      <vt:variant>
        <vt:i4>0</vt:i4>
      </vt:variant>
      <vt:variant>
        <vt:i4>5</vt:i4>
      </vt:variant>
      <vt:variant>
        <vt:lpwstr/>
      </vt:variant>
      <vt:variant>
        <vt:lpwstr>_Toc1669240132</vt:lpwstr>
      </vt:variant>
      <vt:variant>
        <vt:i4>2162702</vt:i4>
      </vt:variant>
      <vt:variant>
        <vt:i4>8</vt:i4>
      </vt:variant>
      <vt:variant>
        <vt:i4>0</vt:i4>
      </vt:variant>
      <vt:variant>
        <vt:i4>5</vt:i4>
      </vt:variant>
      <vt:variant>
        <vt:lpwstr/>
      </vt:variant>
      <vt:variant>
        <vt:lpwstr>_Toc1753240284</vt:lpwstr>
      </vt:variant>
      <vt:variant>
        <vt:i4>1507383</vt:i4>
      </vt:variant>
      <vt:variant>
        <vt:i4>2</vt:i4>
      </vt:variant>
      <vt:variant>
        <vt:i4>0</vt:i4>
      </vt:variant>
      <vt:variant>
        <vt:i4>5</vt:i4>
      </vt:variant>
      <vt:variant>
        <vt:lpwstr/>
      </vt:variant>
      <vt:variant>
        <vt:lpwstr>_Toc409192334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White-Spears</dc:creator>
  <cp:keywords/>
  <dc:description/>
  <cp:lastModifiedBy>Charity Rakestraw (She, Her)</cp:lastModifiedBy>
  <cp:revision>31</cp:revision>
  <dcterms:created xsi:type="dcterms:W3CDTF">2024-08-05T23:20:00Z</dcterms:created>
  <dcterms:modified xsi:type="dcterms:W3CDTF">2024-08-07T21:57:00Z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0x010100ECBC5002AFCB7E46BAF73E9A815C6C0B</vt:lpwstr>
  </property>
  <property fmtid="{D5CDD505-2E9C-101B-9397-08002B2CF9AE}" pid="3" name="MediaServiceImageTags">
    <vt:lpwstr/>
  </property>
</Properties>
</file>